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E84E9" w14:textId="77777777" w:rsidR="00462506" w:rsidRPr="00407E08" w:rsidRDefault="00DE765C" w:rsidP="00B52FBA">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r w:rsidRPr="00407E08">
        <w:rPr>
          <w:rFonts w:ascii="Palatino Linotype" w:hAnsi="Palatino Linotype" w:cs="Arial"/>
          <w:b/>
          <w:noProof/>
          <w:sz w:val="28"/>
          <w:szCs w:val="28"/>
          <w:lang w:val="es-MX" w:eastAsia="es-MX"/>
        </w:rPr>
        <w:drawing>
          <wp:inline distT="0" distB="0" distL="0" distR="0" wp14:anchorId="392C7FD3" wp14:editId="7B308CBA">
            <wp:extent cx="1600200" cy="99147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_02_17_MCN_Retícula Boleta_EDITABLE2-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024" cy="996946"/>
                    </a:xfrm>
                    <a:prstGeom prst="rect">
                      <a:avLst/>
                    </a:prstGeom>
                  </pic:spPr>
                </pic:pic>
              </a:graphicData>
            </a:graphic>
          </wp:inline>
        </w:drawing>
      </w:r>
    </w:p>
    <w:p w14:paraId="3D4DC5BF" w14:textId="77777777" w:rsidR="00D73CF9" w:rsidRPr="00407E08" w:rsidRDefault="00D73CF9" w:rsidP="00B52FBA">
      <w:pPr>
        <w:tabs>
          <w:tab w:val="left" w:pos="0"/>
        </w:tabs>
        <w:jc w:val="center"/>
        <w:rPr>
          <w:rFonts w:ascii="Palatino Linotype" w:eastAsia="Arial" w:hAnsi="Palatino Linotype" w:cs="Arial"/>
          <w:b/>
          <w:sz w:val="28"/>
          <w:szCs w:val="28"/>
          <w:lang w:val="es-MX"/>
        </w:rPr>
      </w:pPr>
    </w:p>
    <w:p w14:paraId="6BA81636" w14:textId="77777777" w:rsidR="00845F78" w:rsidRPr="00407E08" w:rsidRDefault="00845F78" w:rsidP="00B52FBA">
      <w:pPr>
        <w:tabs>
          <w:tab w:val="left" w:pos="0"/>
        </w:tabs>
        <w:jc w:val="center"/>
        <w:rPr>
          <w:rFonts w:ascii="Palatino Linotype" w:eastAsia="Arial" w:hAnsi="Palatino Linotype" w:cs="Arial"/>
          <w:b/>
          <w:sz w:val="28"/>
          <w:szCs w:val="28"/>
          <w:lang w:val="es-MX"/>
        </w:rPr>
      </w:pPr>
    </w:p>
    <w:p w14:paraId="2A69100D" w14:textId="77777777" w:rsidR="00DE765C" w:rsidRPr="00407E08" w:rsidRDefault="00DE765C" w:rsidP="00B52FBA">
      <w:pPr>
        <w:tabs>
          <w:tab w:val="left" w:pos="0"/>
          <w:tab w:val="left" w:pos="11199"/>
          <w:tab w:val="left" w:pos="11340"/>
        </w:tabs>
        <w:jc w:val="center"/>
        <w:rPr>
          <w:rFonts w:ascii="Palatino Linotype" w:eastAsia="Arial" w:hAnsi="Palatino Linotype" w:cs="Arial"/>
          <w:b/>
          <w:sz w:val="28"/>
          <w:szCs w:val="28"/>
        </w:rPr>
      </w:pPr>
      <w:r w:rsidRPr="00407E08">
        <w:rPr>
          <w:rFonts w:ascii="Palatino Linotype" w:eastAsia="Arial" w:hAnsi="Palatino Linotype" w:cs="Arial"/>
          <w:b/>
          <w:sz w:val="28"/>
          <w:szCs w:val="28"/>
        </w:rPr>
        <w:t>REGLAMENTO DE ADMINISTRACIÓN, FINANZAS</w:t>
      </w:r>
    </w:p>
    <w:p w14:paraId="1B999512" w14:textId="77777777" w:rsidR="00DE765C" w:rsidRPr="00407E08" w:rsidRDefault="00DE765C" w:rsidP="00B52FBA">
      <w:pPr>
        <w:tabs>
          <w:tab w:val="left" w:pos="0"/>
          <w:tab w:val="left" w:pos="11199"/>
          <w:tab w:val="left" w:pos="11340"/>
        </w:tabs>
        <w:jc w:val="center"/>
        <w:rPr>
          <w:rFonts w:ascii="Palatino Linotype" w:eastAsia="Arial" w:hAnsi="Palatino Linotype" w:cs="Arial"/>
          <w:sz w:val="28"/>
          <w:szCs w:val="28"/>
        </w:rPr>
      </w:pPr>
      <w:r w:rsidRPr="00407E08">
        <w:rPr>
          <w:rFonts w:ascii="Palatino Linotype" w:eastAsia="Arial" w:hAnsi="Palatino Linotype" w:cs="Arial"/>
          <w:b/>
          <w:sz w:val="28"/>
          <w:szCs w:val="28"/>
        </w:rPr>
        <w:t>Y CONTROL INTERNO</w:t>
      </w:r>
    </w:p>
    <w:p w14:paraId="6DF89EEA" w14:textId="77777777" w:rsidR="00800EE6" w:rsidRPr="00407E08" w:rsidRDefault="00800EE6" w:rsidP="00B52FBA">
      <w:pPr>
        <w:tabs>
          <w:tab w:val="left" w:pos="0"/>
          <w:tab w:val="left" w:pos="11199"/>
          <w:tab w:val="left" w:pos="11340"/>
        </w:tabs>
        <w:jc w:val="both"/>
        <w:rPr>
          <w:rFonts w:ascii="Palatino Linotype" w:eastAsia="Arial" w:hAnsi="Palatino Linotype" w:cs="Arial"/>
          <w:sz w:val="28"/>
          <w:szCs w:val="28"/>
        </w:rPr>
      </w:pPr>
    </w:p>
    <w:p w14:paraId="75F56CDE" w14:textId="77777777" w:rsidR="00DE765C" w:rsidRPr="00407E08" w:rsidRDefault="00DE765C" w:rsidP="00B52FBA">
      <w:pPr>
        <w:tabs>
          <w:tab w:val="left" w:pos="0"/>
        </w:tabs>
        <w:jc w:val="center"/>
        <w:rPr>
          <w:rFonts w:ascii="Palatino Linotype" w:eastAsia="Arial" w:hAnsi="Palatino Linotype" w:cs="Arial"/>
          <w:b/>
          <w:sz w:val="28"/>
          <w:szCs w:val="28"/>
        </w:rPr>
      </w:pPr>
      <w:r w:rsidRPr="00407E08">
        <w:rPr>
          <w:rFonts w:ascii="Palatino Linotype" w:eastAsia="Arial" w:hAnsi="Palatino Linotype" w:cs="Arial"/>
          <w:b/>
          <w:sz w:val="28"/>
          <w:szCs w:val="28"/>
        </w:rPr>
        <w:t xml:space="preserve">CAPÍTULO I </w:t>
      </w:r>
    </w:p>
    <w:p w14:paraId="635E7636" w14:textId="77777777" w:rsidR="00DE765C" w:rsidRPr="00407E08" w:rsidRDefault="00DE765C" w:rsidP="00B52FBA">
      <w:pPr>
        <w:tabs>
          <w:tab w:val="left" w:pos="0"/>
        </w:tabs>
        <w:jc w:val="center"/>
        <w:rPr>
          <w:rFonts w:ascii="Palatino Linotype" w:eastAsia="Arial" w:hAnsi="Palatino Linotype" w:cs="Arial"/>
          <w:sz w:val="28"/>
          <w:szCs w:val="28"/>
        </w:rPr>
      </w:pPr>
      <w:r w:rsidRPr="00407E08">
        <w:rPr>
          <w:rFonts w:ascii="Palatino Linotype" w:eastAsia="Arial" w:hAnsi="Palatino Linotype" w:cs="Arial"/>
          <w:b/>
          <w:w w:val="99"/>
          <w:sz w:val="28"/>
          <w:szCs w:val="28"/>
        </w:rPr>
        <w:t>DISPOSICIONES</w:t>
      </w:r>
      <w:r w:rsidRPr="00407E08">
        <w:rPr>
          <w:rFonts w:ascii="Palatino Linotype" w:eastAsia="Arial" w:hAnsi="Palatino Linotype" w:cs="Arial"/>
          <w:b/>
          <w:sz w:val="28"/>
          <w:szCs w:val="28"/>
        </w:rPr>
        <w:t xml:space="preserve"> </w:t>
      </w:r>
      <w:r w:rsidRPr="00407E08">
        <w:rPr>
          <w:rFonts w:ascii="Palatino Linotype" w:eastAsia="Arial" w:hAnsi="Palatino Linotype" w:cs="Arial"/>
          <w:b/>
          <w:w w:val="99"/>
          <w:sz w:val="28"/>
          <w:szCs w:val="28"/>
        </w:rPr>
        <w:t>GENERALES</w:t>
      </w:r>
    </w:p>
    <w:p w14:paraId="39E9CF4F" w14:textId="77777777" w:rsidR="00DE765C" w:rsidRPr="00407E08" w:rsidRDefault="00DE765C" w:rsidP="00B52FBA">
      <w:pPr>
        <w:tabs>
          <w:tab w:val="left" w:pos="0"/>
        </w:tabs>
        <w:rPr>
          <w:rFonts w:ascii="Palatino Linotype" w:hAnsi="Palatino Linotype"/>
          <w:sz w:val="28"/>
          <w:szCs w:val="28"/>
        </w:rPr>
      </w:pPr>
    </w:p>
    <w:p w14:paraId="59C2CD6F" w14:textId="77777777" w:rsidR="00DE765C" w:rsidRPr="00407E08" w:rsidRDefault="00DE765C" w:rsidP="00B52FBA">
      <w:pPr>
        <w:tabs>
          <w:tab w:val="left" w:pos="0"/>
        </w:tabs>
        <w:jc w:val="both"/>
        <w:rPr>
          <w:rFonts w:ascii="Palatino Linotype" w:eastAsia="Arial" w:hAnsi="Palatino Linotype" w:cs="Arial"/>
          <w:sz w:val="28"/>
          <w:szCs w:val="28"/>
        </w:rPr>
      </w:pPr>
      <w:r w:rsidRPr="00407E08">
        <w:rPr>
          <w:rFonts w:ascii="Palatino Linotype" w:eastAsia="Arial" w:hAnsi="Palatino Linotype" w:cs="Arial"/>
          <w:b/>
          <w:sz w:val="28"/>
          <w:szCs w:val="28"/>
        </w:rPr>
        <w:t>Artículo 1</w:t>
      </w:r>
      <w:r w:rsidRPr="00407E08">
        <w:rPr>
          <w:rFonts w:ascii="Palatino Linotype" w:eastAsia="Arial" w:hAnsi="Palatino Linotype" w:cs="Arial"/>
          <w:sz w:val="28"/>
          <w:szCs w:val="28"/>
        </w:rPr>
        <w:t>. La administración y supervisión del ejercicio del financiamiento público que corresponde a Movimiento Ciudadano estará a cargo de la Tesorería Nacional de la Coordinadora Ciudadana Nacional en los términos de los Estatutos y del presente Reglamento.</w:t>
      </w:r>
    </w:p>
    <w:p w14:paraId="214FFCF5" w14:textId="77777777" w:rsidR="00DE765C" w:rsidRPr="00407E08" w:rsidRDefault="00DE765C" w:rsidP="00B52FBA">
      <w:pPr>
        <w:tabs>
          <w:tab w:val="left" w:pos="0"/>
        </w:tabs>
        <w:jc w:val="both"/>
        <w:rPr>
          <w:rFonts w:ascii="Palatino Linotype" w:eastAsia="Arial" w:hAnsi="Palatino Linotype" w:cs="Arial"/>
          <w:sz w:val="28"/>
          <w:szCs w:val="28"/>
        </w:rPr>
      </w:pPr>
    </w:p>
    <w:p w14:paraId="14A8107C" w14:textId="77777777" w:rsidR="00DE765C" w:rsidRPr="00407E08" w:rsidRDefault="00DE765C" w:rsidP="00B52FBA">
      <w:pPr>
        <w:tabs>
          <w:tab w:val="left" w:pos="0"/>
        </w:tabs>
        <w:jc w:val="both"/>
        <w:rPr>
          <w:rFonts w:ascii="Palatino Linotype" w:eastAsia="Arial" w:hAnsi="Palatino Linotype" w:cs="Arial"/>
          <w:sz w:val="28"/>
          <w:szCs w:val="28"/>
        </w:rPr>
      </w:pPr>
      <w:r w:rsidRPr="00407E08">
        <w:rPr>
          <w:rFonts w:ascii="Palatino Linotype" w:eastAsia="Arial" w:hAnsi="Palatino Linotype" w:cs="Arial"/>
          <w:b/>
          <w:sz w:val="28"/>
          <w:szCs w:val="28"/>
        </w:rPr>
        <w:t>Artículo 2</w:t>
      </w:r>
      <w:r w:rsidRPr="00407E08">
        <w:rPr>
          <w:rFonts w:ascii="Palatino Linotype" w:eastAsia="Arial" w:hAnsi="Palatino Linotype" w:cs="Arial"/>
          <w:sz w:val="28"/>
          <w:szCs w:val="28"/>
        </w:rPr>
        <w:t>. La aplicación del presente Reglamento no exime del cumplimiento de las disposiciones normativas derivadas de la legislación electoral aplicable tanto en el ámbito federal como local.</w:t>
      </w:r>
    </w:p>
    <w:p w14:paraId="0E8D117C" w14:textId="77777777" w:rsidR="00DE765C" w:rsidRPr="00407E08" w:rsidRDefault="00DE765C" w:rsidP="00B52FBA">
      <w:pPr>
        <w:tabs>
          <w:tab w:val="left" w:pos="0"/>
        </w:tabs>
        <w:rPr>
          <w:rFonts w:ascii="Palatino Linotype" w:hAnsi="Palatino Linotype"/>
          <w:sz w:val="28"/>
          <w:szCs w:val="28"/>
        </w:rPr>
      </w:pPr>
    </w:p>
    <w:p w14:paraId="54E46A82" w14:textId="77777777" w:rsidR="00DE765C" w:rsidRPr="00407E08" w:rsidRDefault="00DE765C" w:rsidP="00B52FBA">
      <w:pPr>
        <w:tabs>
          <w:tab w:val="left" w:pos="0"/>
          <w:tab w:val="left" w:pos="11199"/>
          <w:tab w:val="left" w:pos="11340"/>
        </w:tabs>
        <w:jc w:val="both"/>
        <w:rPr>
          <w:rFonts w:ascii="Palatino Linotype" w:eastAsia="Arial" w:hAnsi="Palatino Linotype" w:cs="Arial"/>
          <w:sz w:val="28"/>
          <w:szCs w:val="28"/>
        </w:rPr>
      </w:pPr>
      <w:r w:rsidRPr="00407E08">
        <w:rPr>
          <w:rFonts w:ascii="Palatino Linotype" w:eastAsia="Arial" w:hAnsi="Palatino Linotype" w:cs="Arial"/>
          <w:b/>
          <w:sz w:val="28"/>
          <w:szCs w:val="28"/>
        </w:rPr>
        <w:t>Artículo 3</w:t>
      </w:r>
      <w:r w:rsidRPr="00407E08">
        <w:rPr>
          <w:rFonts w:ascii="Palatino Linotype" w:eastAsia="Arial" w:hAnsi="Palatino Linotype" w:cs="Arial"/>
          <w:sz w:val="28"/>
          <w:szCs w:val="28"/>
        </w:rPr>
        <w:t>. El presente Reglamento corresponde al ámbito Nacional respecto de las Finanzas de Movimiento Ciudadano, como así lo establece el artículo 34 de los Estatutos.</w:t>
      </w:r>
    </w:p>
    <w:p w14:paraId="59D6DA5C" w14:textId="77777777" w:rsidR="00DE4262" w:rsidRPr="00407E08" w:rsidRDefault="00DE4262" w:rsidP="00B52FBA">
      <w:pPr>
        <w:tabs>
          <w:tab w:val="left" w:pos="0"/>
          <w:tab w:val="left" w:pos="11199"/>
          <w:tab w:val="left" w:pos="11340"/>
        </w:tabs>
        <w:jc w:val="both"/>
        <w:rPr>
          <w:rFonts w:ascii="Palatino Linotype" w:eastAsia="Arial" w:hAnsi="Palatino Linotype" w:cs="Arial"/>
          <w:sz w:val="28"/>
          <w:szCs w:val="28"/>
        </w:rPr>
      </w:pPr>
    </w:p>
    <w:p w14:paraId="2283F329" w14:textId="77777777" w:rsidR="00DE765C" w:rsidRPr="00407E08" w:rsidRDefault="00DE765C" w:rsidP="00B52FBA">
      <w:pPr>
        <w:tabs>
          <w:tab w:val="left" w:pos="0"/>
        </w:tabs>
        <w:jc w:val="center"/>
        <w:rPr>
          <w:rFonts w:ascii="Palatino Linotype" w:eastAsia="Arial" w:hAnsi="Palatino Linotype" w:cs="Arial"/>
          <w:sz w:val="28"/>
          <w:szCs w:val="28"/>
        </w:rPr>
      </w:pPr>
      <w:r w:rsidRPr="00407E08">
        <w:rPr>
          <w:rFonts w:ascii="Palatino Linotype" w:eastAsia="Arial" w:hAnsi="Palatino Linotype" w:cs="Arial"/>
          <w:b/>
          <w:sz w:val="28"/>
          <w:szCs w:val="28"/>
        </w:rPr>
        <w:t xml:space="preserve">CAPÍTULO </w:t>
      </w:r>
      <w:r w:rsidRPr="00407E08">
        <w:rPr>
          <w:rFonts w:ascii="Palatino Linotype" w:eastAsia="Arial" w:hAnsi="Palatino Linotype" w:cs="Arial"/>
          <w:b/>
          <w:w w:val="99"/>
          <w:sz w:val="28"/>
          <w:szCs w:val="28"/>
        </w:rPr>
        <w:t>II</w:t>
      </w:r>
    </w:p>
    <w:p w14:paraId="3B142969" w14:textId="77777777" w:rsidR="00DE765C" w:rsidRPr="00407E08" w:rsidRDefault="00DE765C" w:rsidP="00B52FBA">
      <w:pPr>
        <w:tabs>
          <w:tab w:val="left" w:pos="0"/>
        </w:tabs>
        <w:jc w:val="center"/>
        <w:rPr>
          <w:rFonts w:ascii="Palatino Linotype" w:eastAsia="Arial" w:hAnsi="Palatino Linotype" w:cs="Arial"/>
          <w:b/>
          <w:w w:val="99"/>
          <w:position w:val="-1"/>
          <w:sz w:val="28"/>
          <w:szCs w:val="28"/>
        </w:rPr>
      </w:pPr>
      <w:r w:rsidRPr="00407E08">
        <w:rPr>
          <w:rFonts w:ascii="Palatino Linotype" w:eastAsia="Arial" w:hAnsi="Palatino Linotype" w:cs="Arial"/>
          <w:b/>
          <w:position w:val="-1"/>
          <w:sz w:val="28"/>
          <w:szCs w:val="28"/>
        </w:rPr>
        <w:t xml:space="preserve">DE LA TESORERÍA </w:t>
      </w:r>
      <w:r w:rsidRPr="00407E08">
        <w:rPr>
          <w:rFonts w:ascii="Palatino Linotype" w:eastAsia="Arial" w:hAnsi="Palatino Linotype" w:cs="Arial"/>
          <w:b/>
          <w:w w:val="99"/>
          <w:position w:val="-1"/>
          <w:sz w:val="28"/>
          <w:szCs w:val="28"/>
        </w:rPr>
        <w:t>NACIONAL</w:t>
      </w:r>
    </w:p>
    <w:p w14:paraId="0F857FDB" w14:textId="77777777" w:rsidR="00DE765C" w:rsidRPr="00407E08" w:rsidRDefault="00DE765C" w:rsidP="00B52FBA">
      <w:pPr>
        <w:tabs>
          <w:tab w:val="left" w:pos="0"/>
        </w:tabs>
        <w:jc w:val="center"/>
        <w:rPr>
          <w:rFonts w:ascii="Palatino Linotype" w:eastAsia="Arial" w:hAnsi="Palatino Linotype" w:cs="Arial"/>
          <w:sz w:val="28"/>
          <w:szCs w:val="28"/>
        </w:rPr>
      </w:pPr>
    </w:p>
    <w:p w14:paraId="0F86BED1" w14:textId="77777777" w:rsidR="00DE765C" w:rsidRPr="00407E08" w:rsidRDefault="00DE765C" w:rsidP="00B52FBA">
      <w:pPr>
        <w:tabs>
          <w:tab w:val="left" w:pos="0"/>
        </w:tabs>
        <w:jc w:val="both"/>
        <w:rPr>
          <w:rFonts w:ascii="Palatino Linotype" w:eastAsia="Arial" w:hAnsi="Palatino Linotype" w:cs="Arial"/>
          <w:sz w:val="28"/>
          <w:szCs w:val="28"/>
        </w:rPr>
      </w:pPr>
      <w:r w:rsidRPr="00407E08">
        <w:rPr>
          <w:rFonts w:ascii="Palatino Linotype" w:eastAsia="Arial" w:hAnsi="Palatino Linotype" w:cs="Arial"/>
          <w:b/>
          <w:sz w:val="28"/>
          <w:szCs w:val="28"/>
        </w:rPr>
        <w:t>Artículo 4</w:t>
      </w:r>
      <w:r w:rsidRPr="00407E08">
        <w:rPr>
          <w:rFonts w:ascii="Palatino Linotype" w:eastAsia="Arial" w:hAnsi="Palatino Linotype" w:cs="Arial"/>
          <w:sz w:val="28"/>
          <w:szCs w:val="28"/>
        </w:rPr>
        <w:t>. La Tesorería Nacional estará a cargo de un Tesorero Nacional designado por la Coordinadora Ciudadana Nacional a propuesta del Coordinador de la Comisión Operativa Nacional.</w:t>
      </w:r>
    </w:p>
    <w:p w14:paraId="3F530BA0" w14:textId="77777777" w:rsidR="00DE765C" w:rsidRPr="00407E08" w:rsidRDefault="00DE765C" w:rsidP="00B52FBA">
      <w:pPr>
        <w:tabs>
          <w:tab w:val="left" w:pos="0"/>
        </w:tabs>
        <w:rPr>
          <w:rFonts w:ascii="Palatino Linotype" w:hAnsi="Palatino Linotype"/>
          <w:sz w:val="28"/>
          <w:szCs w:val="28"/>
        </w:rPr>
      </w:pPr>
    </w:p>
    <w:p w14:paraId="6FF1DFB3" w14:textId="77777777" w:rsidR="00DE765C" w:rsidRPr="00407E08" w:rsidRDefault="00DE765C" w:rsidP="00B52FBA">
      <w:pPr>
        <w:tabs>
          <w:tab w:val="left" w:pos="0"/>
        </w:tabs>
        <w:jc w:val="both"/>
        <w:rPr>
          <w:rFonts w:ascii="Palatino Linotype" w:eastAsia="Arial" w:hAnsi="Palatino Linotype" w:cs="Arial"/>
          <w:sz w:val="28"/>
          <w:szCs w:val="28"/>
        </w:rPr>
      </w:pPr>
      <w:r w:rsidRPr="00407E08">
        <w:rPr>
          <w:rFonts w:ascii="Palatino Linotype" w:eastAsia="Arial" w:hAnsi="Palatino Linotype" w:cs="Arial"/>
          <w:b/>
          <w:sz w:val="28"/>
          <w:szCs w:val="28"/>
        </w:rPr>
        <w:t>Artículo 5</w:t>
      </w:r>
      <w:r w:rsidRPr="00407E08">
        <w:rPr>
          <w:rFonts w:ascii="Palatino Linotype" w:eastAsia="Arial" w:hAnsi="Palatino Linotype" w:cs="Arial"/>
          <w:sz w:val="28"/>
          <w:szCs w:val="28"/>
        </w:rPr>
        <w:t>. Las funciones del Tesorero Nacional se encuentran establecidas en el artículo 35 de los Estatutos de Movimiento Ciudadano.</w:t>
      </w:r>
    </w:p>
    <w:p w14:paraId="2D1FC96B" w14:textId="77777777" w:rsidR="00DE765C" w:rsidRPr="00407E08" w:rsidRDefault="00DE765C" w:rsidP="00B52FBA">
      <w:pPr>
        <w:tabs>
          <w:tab w:val="left" w:pos="0"/>
        </w:tabs>
        <w:jc w:val="both"/>
        <w:rPr>
          <w:rFonts w:ascii="Palatino Linotype" w:eastAsia="Arial" w:hAnsi="Palatino Linotype" w:cs="Arial"/>
          <w:b/>
          <w:sz w:val="28"/>
          <w:szCs w:val="28"/>
        </w:rPr>
      </w:pPr>
    </w:p>
    <w:p w14:paraId="377EDD39" w14:textId="77777777" w:rsidR="00DE765C" w:rsidRPr="00407E08" w:rsidRDefault="00DE765C" w:rsidP="00B52FBA">
      <w:pPr>
        <w:tabs>
          <w:tab w:val="left" w:pos="0"/>
        </w:tabs>
        <w:jc w:val="both"/>
        <w:rPr>
          <w:rFonts w:ascii="Palatino Linotype" w:eastAsia="Arial" w:hAnsi="Palatino Linotype" w:cs="Arial"/>
          <w:sz w:val="28"/>
          <w:szCs w:val="28"/>
        </w:rPr>
      </w:pPr>
      <w:r w:rsidRPr="00407E08">
        <w:rPr>
          <w:rFonts w:ascii="Palatino Linotype" w:eastAsia="Arial" w:hAnsi="Palatino Linotype" w:cs="Arial"/>
          <w:b/>
          <w:sz w:val="28"/>
          <w:szCs w:val="28"/>
        </w:rPr>
        <w:t>Artículo 6</w:t>
      </w:r>
      <w:r w:rsidRPr="00407E08">
        <w:rPr>
          <w:rFonts w:ascii="Palatino Linotype" w:eastAsia="Arial" w:hAnsi="Palatino Linotype" w:cs="Arial"/>
          <w:sz w:val="28"/>
          <w:szCs w:val="28"/>
        </w:rPr>
        <w:t>. Para el adecuado funcionamiento de la Tesorería Nacional, ésta contará con un cuerpo técnico profesional que será designado por el Tesorero Nacional.</w:t>
      </w:r>
    </w:p>
    <w:p w14:paraId="18F994E6" w14:textId="77777777" w:rsidR="00845F78" w:rsidRPr="00407E08" w:rsidRDefault="00845F78" w:rsidP="00B52FBA">
      <w:pPr>
        <w:tabs>
          <w:tab w:val="left" w:pos="0"/>
        </w:tabs>
        <w:jc w:val="both"/>
        <w:rPr>
          <w:rFonts w:ascii="Palatino Linotype" w:eastAsia="Arial" w:hAnsi="Palatino Linotype" w:cs="Arial"/>
          <w:sz w:val="28"/>
          <w:szCs w:val="28"/>
        </w:rPr>
      </w:pPr>
    </w:p>
    <w:p w14:paraId="39D1F015" w14:textId="77777777" w:rsidR="00DE765C" w:rsidRPr="00407E08" w:rsidRDefault="00DE765C" w:rsidP="00B52FBA">
      <w:pPr>
        <w:tabs>
          <w:tab w:val="left" w:pos="0"/>
        </w:tabs>
        <w:jc w:val="center"/>
        <w:rPr>
          <w:rFonts w:ascii="Palatino Linotype" w:eastAsia="Arial" w:hAnsi="Palatino Linotype" w:cs="Arial"/>
          <w:sz w:val="28"/>
          <w:szCs w:val="28"/>
        </w:rPr>
      </w:pPr>
      <w:r w:rsidRPr="00407E08">
        <w:rPr>
          <w:rFonts w:ascii="Palatino Linotype" w:eastAsia="Arial" w:hAnsi="Palatino Linotype" w:cs="Arial"/>
          <w:b/>
          <w:sz w:val="28"/>
          <w:szCs w:val="28"/>
        </w:rPr>
        <w:t xml:space="preserve">CAPÍTULO </w:t>
      </w:r>
      <w:r w:rsidRPr="00407E08">
        <w:rPr>
          <w:rFonts w:ascii="Palatino Linotype" w:eastAsia="Arial" w:hAnsi="Palatino Linotype" w:cs="Arial"/>
          <w:b/>
          <w:w w:val="99"/>
          <w:sz w:val="28"/>
          <w:szCs w:val="28"/>
        </w:rPr>
        <w:t>III</w:t>
      </w:r>
    </w:p>
    <w:p w14:paraId="45F415C4" w14:textId="77777777" w:rsidR="00DE765C" w:rsidRPr="00407E08" w:rsidRDefault="00DE765C" w:rsidP="00B52FBA">
      <w:pPr>
        <w:tabs>
          <w:tab w:val="left" w:pos="0"/>
        </w:tabs>
        <w:jc w:val="center"/>
        <w:rPr>
          <w:rFonts w:ascii="Palatino Linotype" w:eastAsia="Arial" w:hAnsi="Palatino Linotype" w:cs="Arial"/>
          <w:b/>
          <w:position w:val="-1"/>
          <w:sz w:val="28"/>
          <w:szCs w:val="28"/>
        </w:rPr>
      </w:pPr>
      <w:r w:rsidRPr="00407E08">
        <w:rPr>
          <w:rFonts w:ascii="Palatino Linotype" w:eastAsia="Arial" w:hAnsi="Palatino Linotype" w:cs="Arial"/>
          <w:b/>
          <w:position w:val="-1"/>
          <w:sz w:val="28"/>
          <w:szCs w:val="28"/>
        </w:rPr>
        <w:t>DE LA COMISIÓN NACIONAL DE TRANSPARENCIA Y ACCESO A LA INFORMACIÓN</w:t>
      </w:r>
    </w:p>
    <w:p w14:paraId="3FF3ECA0" w14:textId="77777777" w:rsidR="00DE765C" w:rsidRPr="00407E08" w:rsidRDefault="00DE765C" w:rsidP="00B52FBA">
      <w:pPr>
        <w:tabs>
          <w:tab w:val="left" w:pos="0"/>
        </w:tabs>
        <w:jc w:val="center"/>
        <w:rPr>
          <w:rFonts w:ascii="Palatino Linotype" w:eastAsia="Arial" w:hAnsi="Palatino Linotype" w:cs="Arial"/>
          <w:sz w:val="28"/>
          <w:szCs w:val="28"/>
        </w:rPr>
      </w:pPr>
    </w:p>
    <w:p w14:paraId="0BC98999" w14:textId="77777777" w:rsidR="00DE765C" w:rsidRPr="00407E08" w:rsidRDefault="00DE765C" w:rsidP="00B52FBA">
      <w:pPr>
        <w:tabs>
          <w:tab w:val="left" w:pos="0"/>
        </w:tabs>
        <w:contextualSpacing/>
        <w:jc w:val="both"/>
        <w:rPr>
          <w:rFonts w:ascii="Palatino Linotype" w:hAnsi="Palatino Linotype" w:cs="Arial"/>
          <w:sz w:val="28"/>
          <w:szCs w:val="28"/>
        </w:rPr>
      </w:pPr>
      <w:r w:rsidRPr="00407E08">
        <w:rPr>
          <w:rFonts w:ascii="Palatino Linotype" w:eastAsia="Arial" w:hAnsi="Palatino Linotype" w:cs="Arial"/>
          <w:b/>
          <w:sz w:val="28"/>
          <w:szCs w:val="28"/>
        </w:rPr>
        <w:t>Artículo 7</w:t>
      </w:r>
      <w:r w:rsidRPr="00407E08">
        <w:rPr>
          <w:rFonts w:ascii="Palatino Linotype" w:eastAsia="Arial" w:hAnsi="Palatino Linotype" w:cs="Arial"/>
          <w:sz w:val="28"/>
          <w:szCs w:val="28"/>
        </w:rPr>
        <w:t xml:space="preserve">. </w:t>
      </w:r>
      <w:r w:rsidRPr="00407E08">
        <w:rPr>
          <w:rFonts w:ascii="Palatino Linotype" w:hAnsi="Palatino Linotype" w:cs="Arial"/>
          <w:sz w:val="28"/>
          <w:szCs w:val="28"/>
        </w:rPr>
        <w:t>La Comisión Nacional de Transparencia y Acceso a la Información, es la máxima instancia responsable de cumplir con las obligaciones en materia de transparencia y acceso a la información, establecidas en la Constitución Política de los Estados Unidos Mexicanos y las leyes que de ella emanen. Estará integrada de conformidad a lo que señala el artículo 69 de los Estatutos de Movimiento Ciudadano.</w:t>
      </w:r>
    </w:p>
    <w:p w14:paraId="4DB07365" w14:textId="77777777" w:rsidR="00DE765C" w:rsidRPr="00407E08" w:rsidRDefault="00DE765C" w:rsidP="00B52FBA">
      <w:pPr>
        <w:tabs>
          <w:tab w:val="left" w:pos="0"/>
        </w:tabs>
        <w:contextualSpacing/>
        <w:jc w:val="both"/>
        <w:rPr>
          <w:rFonts w:ascii="Palatino Linotype" w:hAnsi="Palatino Linotype" w:cs="Arial"/>
          <w:sz w:val="28"/>
          <w:szCs w:val="28"/>
        </w:rPr>
      </w:pPr>
    </w:p>
    <w:p w14:paraId="0547C81B" w14:textId="77777777" w:rsidR="00DE765C" w:rsidRPr="00407E08" w:rsidRDefault="00DE765C" w:rsidP="00B52FBA">
      <w:pPr>
        <w:tabs>
          <w:tab w:val="left" w:pos="0"/>
        </w:tabs>
        <w:contextualSpacing/>
        <w:jc w:val="both"/>
        <w:rPr>
          <w:rFonts w:ascii="Palatino Linotype" w:hAnsi="Palatino Linotype" w:cs="Arial"/>
          <w:sz w:val="28"/>
          <w:szCs w:val="28"/>
        </w:rPr>
      </w:pPr>
      <w:r w:rsidRPr="00407E08">
        <w:rPr>
          <w:rFonts w:ascii="Palatino Linotype" w:eastAsia="Arial" w:hAnsi="Palatino Linotype" w:cs="Arial"/>
          <w:b/>
          <w:sz w:val="28"/>
          <w:szCs w:val="28"/>
        </w:rPr>
        <w:t>Artículo 8</w:t>
      </w:r>
      <w:r w:rsidRPr="00407E08">
        <w:rPr>
          <w:rFonts w:ascii="Palatino Linotype" w:eastAsia="Arial" w:hAnsi="Palatino Linotype" w:cs="Arial"/>
          <w:sz w:val="28"/>
          <w:szCs w:val="28"/>
        </w:rPr>
        <w:t xml:space="preserve">. </w:t>
      </w:r>
      <w:r w:rsidRPr="00407E08">
        <w:rPr>
          <w:rFonts w:ascii="Palatino Linotype" w:hAnsi="Palatino Linotype" w:cs="Arial"/>
          <w:sz w:val="28"/>
          <w:szCs w:val="28"/>
        </w:rPr>
        <w:t xml:space="preserve">Las funciones de la Comisión Nacional de Transparencia y Acceso a la Información se encuentran contenidas en el artículo </w:t>
      </w:r>
      <w:r w:rsidRPr="00407E08">
        <w:rPr>
          <w:rFonts w:ascii="Palatino Linotype" w:hAnsi="Palatino Linotype" w:cs="Arial"/>
          <w:b/>
          <w:sz w:val="28"/>
          <w:szCs w:val="28"/>
        </w:rPr>
        <w:t>71</w:t>
      </w:r>
      <w:r w:rsidRPr="00407E08">
        <w:rPr>
          <w:rFonts w:ascii="Palatino Linotype" w:hAnsi="Palatino Linotype" w:cs="Arial"/>
          <w:sz w:val="28"/>
          <w:szCs w:val="28"/>
        </w:rPr>
        <w:t xml:space="preserve"> de los Estatutos de Movimiento Ciudadano.</w:t>
      </w:r>
    </w:p>
    <w:p w14:paraId="2DD46231" w14:textId="77777777" w:rsidR="00DE765C" w:rsidRPr="00407E08" w:rsidRDefault="00DE765C" w:rsidP="00B52FBA">
      <w:pPr>
        <w:tabs>
          <w:tab w:val="left" w:pos="0"/>
        </w:tabs>
        <w:contextualSpacing/>
        <w:jc w:val="both"/>
        <w:rPr>
          <w:rFonts w:ascii="Palatino Linotype" w:hAnsi="Palatino Linotype" w:cs="Arial"/>
          <w:sz w:val="28"/>
          <w:szCs w:val="28"/>
        </w:rPr>
      </w:pPr>
    </w:p>
    <w:p w14:paraId="47C7B5FC" w14:textId="77777777" w:rsidR="00DE765C" w:rsidRPr="00407E08" w:rsidRDefault="00DE765C" w:rsidP="00B52FBA">
      <w:pPr>
        <w:tabs>
          <w:tab w:val="left" w:pos="0"/>
        </w:tabs>
        <w:contextualSpacing/>
        <w:jc w:val="both"/>
        <w:rPr>
          <w:rFonts w:ascii="Palatino Linotype" w:hAnsi="Palatino Linotype" w:cs="Arial"/>
          <w:b/>
          <w:sz w:val="28"/>
          <w:szCs w:val="28"/>
        </w:rPr>
      </w:pPr>
      <w:r w:rsidRPr="00407E08">
        <w:rPr>
          <w:rFonts w:ascii="Palatino Linotype" w:eastAsia="Arial" w:hAnsi="Palatino Linotype" w:cs="Arial"/>
          <w:b/>
          <w:sz w:val="28"/>
          <w:szCs w:val="28"/>
        </w:rPr>
        <w:t>Artículo 9</w:t>
      </w:r>
      <w:r w:rsidRPr="00407E08">
        <w:rPr>
          <w:rFonts w:ascii="Palatino Linotype" w:eastAsia="Arial" w:hAnsi="Palatino Linotype" w:cs="Arial"/>
          <w:sz w:val="28"/>
          <w:szCs w:val="28"/>
        </w:rPr>
        <w:t xml:space="preserve">. </w:t>
      </w:r>
      <w:r w:rsidRPr="00407E08">
        <w:rPr>
          <w:rFonts w:ascii="Palatino Linotype" w:hAnsi="Palatino Linotype" w:cs="Arial"/>
          <w:sz w:val="28"/>
          <w:szCs w:val="28"/>
        </w:rPr>
        <w:t xml:space="preserve">La Tesorería Nacional deberá llevar a cabo por orden de la Comisión Operativa Nacional la supervisión de las Tesorerías Estatales para vigilar la correcta implementación de los lineamientos y con ello dar cumplimiento al Reglamento de Transparencia de Movimiento Ciudadano. </w:t>
      </w:r>
      <w:r w:rsidRPr="00407E08">
        <w:rPr>
          <w:rFonts w:ascii="Palatino Linotype" w:hAnsi="Palatino Linotype" w:cs="Arial"/>
          <w:b/>
          <w:sz w:val="28"/>
          <w:szCs w:val="28"/>
        </w:rPr>
        <w:t xml:space="preserve"> </w:t>
      </w:r>
    </w:p>
    <w:p w14:paraId="539D69A0" w14:textId="77777777" w:rsidR="00DE765C" w:rsidRPr="00407E08" w:rsidRDefault="00DE765C" w:rsidP="00B52FBA">
      <w:pPr>
        <w:tabs>
          <w:tab w:val="left" w:pos="0"/>
        </w:tabs>
        <w:contextualSpacing/>
        <w:jc w:val="both"/>
        <w:rPr>
          <w:rFonts w:ascii="Palatino Linotype" w:hAnsi="Palatino Linotype" w:cs="Arial"/>
          <w:b/>
          <w:sz w:val="28"/>
          <w:szCs w:val="28"/>
        </w:rPr>
      </w:pPr>
    </w:p>
    <w:p w14:paraId="58E9FA3D" w14:textId="77777777" w:rsidR="00DE765C" w:rsidRPr="00407E08" w:rsidRDefault="00DE765C" w:rsidP="00B52FBA">
      <w:pPr>
        <w:tabs>
          <w:tab w:val="left" w:pos="0"/>
        </w:tabs>
        <w:jc w:val="center"/>
        <w:rPr>
          <w:rFonts w:ascii="Palatino Linotype" w:eastAsia="Arial" w:hAnsi="Palatino Linotype" w:cs="Arial"/>
          <w:sz w:val="28"/>
          <w:szCs w:val="28"/>
        </w:rPr>
      </w:pPr>
      <w:r w:rsidRPr="00407E08">
        <w:rPr>
          <w:rFonts w:ascii="Palatino Linotype" w:eastAsia="Arial" w:hAnsi="Palatino Linotype" w:cs="Arial"/>
          <w:b/>
          <w:sz w:val="28"/>
          <w:szCs w:val="28"/>
        </w:rPr>
        <w:t xml:space="preserve">CAPÍTULO </w:t>
      </w:r>
      <w:r w:rsidRPr="00407E08">
        <w:rPr>
          <w:rFonts w:ascii="Palatino Linotype" w:eastAsia="Arial" w:hAnsi="Palatino Linotype" w:cs="Arial"/>
          <w:b/>
          <w:w w:val="99"/>
          <w:sz w:val="28"/>
          <w:szCs w:val="28"/>
        </w:rPr>
        <w:t>IV</w:t>
      </w:r>
    </w:p>
    <w:p w14:paraId="2331CB35" w14:textId="77777777" w:rsidR="00DE765C" w:rsidRPr="00407E08" w:rsidRDefault="00DE765C" w:rsidP="00B52FBA">
      <w:pPr>
        <w:tabs>
          <w:tab w:val="left" w:pos="0"/>
        </w:tabs>
        <w:jc w:val="center"/>
        <w:rPr>
          <w:rFonts w:ascii="Palatino Linotype" w:eastAsia="Arial" w:hAnsi="Palatino Linotype" w:cs="Arial"/>
          <w:b/>
          <w:w w:val="99"/>
          <w:position w:val="-1"/>
          <w:sz w:val="28"/>
          <w:szCs w:val="28"/>
        </w:rPr>
      </w:pPr>
      <w:r w:rsidRPr="00407E08">
        <w:rPr>
          <w:rFonts w:ascii="Palatino Linotype" w:eastAsia="Arial" w:hAnsi="Palatino Linotype" w:cs="Arial"/>
          <w:b/>
          <w:position w:val="-1"/>
          <w:sz w:val="28"/>
          <w:szCs w:val="28"/>
        </w:rPr>
        <w:t xml:space="preserve">DE LA DISTRIBUCIÓN DEL FINANCIAMIENTO PÚBLICO </w:t>
      </w:r>
      <w:r w:rsidRPr="00407E08">
        <w:rPr>
          <w:rFonts w:ascii="Palatino Linotype" w:eastAsia="Arial" w:hAnsi="Palatino Linotype" w:cs="Arial"/>
          <w:b/>
          <w:w w:val="99"/>
          <w:position w:val="-1"/>
          <w:sz w:val="28"/>
          <w:szCs w:val="28"/>
        </w:rPr>
        <w:t>FEDERAL</w:t>
      </w:r>
    </w:p>
    <w:p w14:paraId="484D69F3" w14:textId="77777777" w:rsidR="00800EE6" w:rsidRPr="00407E08" w:rsidRDefault="00800EE6" w:rsidP="00B52FBA">
      <w:pPr>
        <w:tabs>
          <w:tab w:val="left" w:pos="0"/>
        </w:tabs>
        <w:contextualSpacing/>
        <w:jc w:val="both"/>
        <w:rPr>
          <w:rFonts w:ascii="Palatino Linotype" w:eastAsia="Arial" w:hAnsi="Palatino Linotype" w:cs="Arial"/>
          <w:b/>
          <w:sz w:val="28"/>
          <w:szCs w:val="28"/>
        </w:rPr>
      </w:pPr>
    </w:p>
    <w:p w14:paraId="5CE663DF" w14:textId="77777777" w:rsidR="00DE765C" w:rsidRPr="00407E08" w:rsidRDefault="00DE765C" w:rsidP="00B52FBA">
      <w:pPr>
        <w:tabs>
          <w:tab w:val="left" w:pos="0"/>
        </w:tabs>
        <w:contextualSpacing/>
        <w:jc w:val="both"/>
        <w:rPr>
          <w:rFonts w:ascii="Palatino Linotype" w:hAnsi="Palatino Linotype" w:cs="Arial"/>
          <w:sz w:val="28"/>
          <w:szCs w:val="28"/>
        </w:rPr>
      </w:pPr>
      <w:r w:rsidRPr="00407E08">
        <w:rPr>
          <w:rFonts w:ascii="Palatino Linotype" w:eastAsia="Arial" w:hAnsi="Palatino Linotype" w:cs="Arial"/>
          <w:b/>
          <w:sz w:val="28"/>
          <w:szCs w:val="28"/>
        </w:rPr>
        <w:t>Artículo 10</w:t>
      </w:r>
      <w:r w:rsidRPr="00407E08">
        <w:rPr>
          <w:rFonts w:ascii="Palatino Linotype" w:eastAsia="Arial" w:hAnsi="Palatino Linotype" w:cs="Arial"/>
          <w:sz w:val="28"/>
          <w:szCs w:val="28"/>
        </w:rPr>
        <w:t xml:space="preserve">. </w:t>
      </w:r>
      <w:r w:rsidRPr="00407E08">
        <w:rPr>
          <w:rFonts w:ascii="Palatino Linotype" w:hAnsi="Palatino Linotype" w:cs="Arial"/>
          <w:sz w:val="28"/>
          <w:szCs w:val="28"/>
        </w:rPr>
        <w:t>En acuerdo con lo establecido en el artículo 37 de los Estatutos, el financiamiento público nacional se transferirá de la siguiente manera:</w:t>
      </w:r>
    </w:p>
    <w:p w14:paraId="0D923EA0" w14:textId="77777777" w:rsidR="00DE765C" w:rsidRPr="00407E08" w:rsidRDefault="00DE765C" w:rsidP="00B52FBA">
      <w:pPr>
        <w:tabs>
          <w:tab w:val="left" w:pos="0"/>
        </w:tabs>
        <w:contextualSpacing/>
        <w:jc w:val="both"/>
        <w:rPr>
          <w:rFonts w:ascii="Palatino Linotype" w:hAnsi="Palatino Linotype" w:cs="Arial"/>
          <w:sz w:val="28"/>
          <w:szCs w:val="28"/>
        </w:rPr>
      </w:pPr>
    </w:p>
    <w:p w14:paraId="3E794715" w14:textId="77777777" w:rsidR="00DE765C" w:rsidRPr="00407E08" w:rsidRDefault="00DE765C" w:rsidP="00B52FBA">
      <w:pPr>
        <w:pStyle w:val="Prrafodelista"/>
        <w:numPr>
          <w:ilvl w:val="0"/>
          <w:numId w:val="3"/>
        </w:numPr>
        <w:ind w:left="851" w:hanging="491"/>
        <w:jc w:val="both"/>
        <w:rPr>
          <w:rFonts w:ascii="Palatino Linotype" w:hAnsi="Palatino Linotype" w:cs="Arial"/>
          <w:sz w:val="28"/>
          <w:szCs w:val="28"/>
          <w:lang w:val="es-MX"/>
        </w:rPr>
      </w:pPr>
      <w:r w:rsidRPr="00407E08">
        <w:rPr>
          <w:rFonts w:ascii="Palatino Linotype" w:hAnsi="Palatino Linotype" w:cs="Arial"/>
          <w:sz w:val="28"/>
          <w:szCs w:val="28"/>
          <w:lang w:val="es-MX"/>
        </w:rPr>
        <w:lastRenderedPageBreak/>
        <w:t xml:space="preserve">El 20% a las Comisiones Operativas Estatales, de conformidad con el proyecto de presupuesto de ingresos y egresos aprobado por la Coordinadora Ciudadana Nacional. </w:t>
      </w:r>
    </w:p>
    <w:p w14:paraId="4DA8CAFE" w14:textId="77777777" w:rsidR="00DE765C" w:rsidRPr="00407E08" w:rsidRDefault="00DE765C" w:rsidP="00B52FBA">
      <w:pPr>
        <w:pStyle w:val="Prrafodelista"/>
        <w:numPr>
          <w:ilvl w:val="0"/>
          <w:numId w:val="3"/>
        </w:numPr>
        <w:ind w:left="851" w:hanging="491"/>
        <w:jc w:val="both"/>
        <w:rPr>
          <w:rFonts w:ascii="Palatino Linotype" w:hAnsi="Palatino Linotype" w:cs="Arial"/>
          <w:sz w:val="28"/>
          <w:szCs w:val="28"/>
          <w:lang w:val="es-MX"/>
        </w:rPr>
      </w:pPr>
      <w:r w:rsidRPr="00407E08">
        <w:rPr>
          <w:rFonts w:ascii="Palatino Linotype" w:hAnsi="Palatino Linotype" w:cs="Arial"/>
          <w:sz w:val="28"/>
          <w:szCs w:val="28"/>
          <w:lang w:val="es-MX"/>
        </w:rPr>
        <w:t xml:space="preserve">El 4% para las actividades de apoyo, capacitación, promoción y desarrollo del liderazgo político de las mujeres, destinando el 25% de este recurso a mujeres jóvenes. </w:t>
      </w:r>
    </w:p>
    <w:p w14:paraId="5F804E5C" w14:textId="77777777" w:rsidR="00DE765C" w:rsidRPr="00407E08" w:rsidRDefault="00DE765C" w:rsidP="00B52FBA">
      <w:pPr>
        <w:pStyle w:val="Prrafodelista"/>
        <w:numPr>
          <w:ilvl w:val="0"/>
          <w:numId w:val="3"/>
        </w:numPr>
        <w:ind w:left="851" w:hanging="491"/>
        <w:jc w:val="both"/>
        <w:rPr>
          <w:rFonts w:ascii="Palatino Linotype" w:hAnsi="Palatino Linotype" w:cs="Arial"/>
          <w:sz w:val="28"/>
          <w:szCs w:val="28"/>
          <w:lang w:val="es-MX"/>
        </w:rPr>
      </w:pPr>
      <w:r w:rsidRPr="00407E08">
        <w:rPr>
          <w:rFonts w:ascii="Palatino Linotype" w:hAnsi="Palatino Linotype" w:cs="Arial"/>
          <w:sz w:val="28"/>
          <w:szCs w:val="28"/>
          <w:lang w:val="es-MX"/>
        </w:rPr>
        <w:t xml:space="preserve">También se destinará el 2% para las actividades de apoyo, capacitación, promoción y desarrollo del liderazgo político de los jóvenes y otro 2% para los mismos fines de los trabajadores y productores. </w:t>
      </w:r>
    </w:p>
    <w:p w14:paraId="584B0253" w14:textId="77777777" w:rsidR="00DE765C" w:rsidRPr="00407E08" w:rsidRDefault="00DE765C" w:rsidP="00B52FBA">
      <w:pPr>
        <w:pStyle w:val="Prrafodelista"/>
        <w:numPr>
          <w:ilvl w:val="0"/>
          <w:numId w:val="3"/>
        </w:numPr>
        <w:ind w:left="851" w:hanging="491"/>
        <w:jc w:val="both"/>
        <w:rPr>
          <w:rFonts w:ascii="Palatino Linotype" w:hAnsi="Palatino Linotype" w:cs="Arial"/>
          <w:sz w:val="28"/>
          <w:szCs w:val="28"/>
          <w:lang w:val="es-MX"/>
        </w:rPr>
      </w:pPr>
      <w:r w:rsidRPr="00407E08">
        <w:rPr>
          <w:rFonts w:ascii="Palatino Linotype" w:hAnsi="Palatino Linotype" w:cs="Arial"/>
          <w:sz w:val="28"/>
          <w:szCs w:val="28"/>
          <w:lang w:val="es-MX"/>
        </w:rPr>
        <w:t xml:space="preserve">El 10% para las actividades de promoción y desarrollo de las fundaciones de Movimiento Ciudadano. </w:t>
      </w:r>
    </w:p>
    <w:p w14:paraId="50A5215D" w14:textId="77777777" w:rsidR="00DE765C" w:rsidRPr="00407E08" w:rsidRDefault="00DE765C" w:rsidP="00B52FBA">
      <w:pPr>
        <w:tabs>
          <w:tab w:val="left" w:pos="0"/>
        </w:tabs>
        <w:rPr>
          <w:rFonts w:ascii="Palatino Linotype" w:hAnsi="Palatino Linotype"/>
          <w:sz w:val="28"/>
          <w:szCs w:val="28"/>
        </w:rPr>
      </w:pPr>
    </w:p>
    <w:p w14:paraId="69FDC63F" w14:textId="77777777" w:rsidR="00DE765C" w:rsidRPr="00407E08" w:rsidRDefault="00DE765C" w:rsidP="00B52FBA">
      <w:pPr>
        <w:jc w:val="center"/>
        <w:rPr>
          <w:rFonts w:ascii="Palatino Linotype" w:eastAsia="Arial" w:hAnsi="Palatino Linotype" w:cs="Arial"/>
          <w:b/>
          <w:w w:val="99"/>
          <w:sz w:val="28"/>
          <w:szCs w:val="28"/>
        </w:rPr>
      </w:pPr>
      <w:r w:rsidRPr="00407E08">
        <w:rPr>
          <w:rFonts w:ascii="Palatino Linotype" w:eastAsia="Arial" w:hAnsi="Palatino Linotype" w:cs="Arial"/>
          <w:b/>
          <w:sz w:val="28"/>
          <w:szCs w:val="28"/>
        </w:rPr>
        <w:t xml:space="preserve">CAPÍTULO </w:t>
      </w:r>
      <w:r w:rsidRPr="00407E08">
        <w:rPr>
          <w:rFonts w:ascii="Palatino Linotype" w:eastAsia="Arial" w:hAnsi="Palatino Linotype" w:cs="Arial"/>
          <w:b/>
          <w:w w:val="99"/>
          <w:sz w:val="28"/>
          <w:szCs w:val="28"/>
        </w:rPr>
        <w:t>V</w:t>
      </w:r>
    </w:p>
    <w:p w14:paraId="47AB5A71" w14:textId="77777777" w:rsidR="00DE765C" w:rsidRPr="00407E08" w:rsidRDefault="00DE765C" w:rsidP="00B52FBA">
      <w:pPr>
        <w:tabs>
          <w:tab w:val="left" w:pos="0"/>
        </w:tabs>
        <w:jc w:val="center"/>
        <w:rPr>
          <w:rFonts w:ascii="Palatino Linotype" w:eastAsia="Arial" w:hAnsi="Palatino Linotype" w:cs="Arial"/>
          <w:b/>
          <w:position w:val="-1"/>
          <w:sz w:val="28"/>
          <w:szCs w:val="28"/>
        </w:rPr>
      </w:pPr>
      <w:r w:rsidRPr="00407E08">
        <w:rPr>
          <w:rFonts w:ascii="Palatino Linotype" w:eastAsia="Arial" w:hAnsi="Palatino Linotype" w:cs="Arial"/>
          <w:b/>
          <w:position w:val="-1"/>
          <w:sz w:val="28"/>
          <w:szCs w:val="28"/>
        </w:rPr>
        <w:t>DE LOS INGRESOS, EGRESOS Y PRESUPUESTO</w:t>
      </w:r>
    </w:p>
    <w:p w14:paraId="13B98F0C" w14:textId="77777777" w:rsidR="00DE765C" w:rsidRPr="00407E08" w:rsidRDefault="00DE765C" w:rsidP="00B52FBA">
      <w:pPr>
        <w:tabs>
          <w:tab w:val="left" w:pos="0"/>
        </w:tabs>
        <w:jc w:val="center"/>
        <w:rPr>
          <w:rFonts w:ascii="Palatino Linotype" w:eastAsia="Arial" w:hAnsi="Palatino Linotype" w:cs="Arial"/>
          <w:sz w:val="28"/>
          <w:szCs w:val="28"/>
        </w:rPr>
      </w:pPr>
    </w:p>
    <w:p w14:paraId="50B18BB6" w14:textId="77777777" w:rsidR="00DE765C" w:rsidRPr="00407E08" w:rsidRDefault="00DE765C" w:rsidP="00B52FBA">
      <w:pPr>
        <w:jc w:val="both"/>
        <w:rPr>
          <w:rFonts w:ascii="Palatino Linotype" w:hAnsi="Palatino Linotype" w:cs="Arial"/>
          <w:b/>
          <w:sz w:val="28"/>
          <w:szCs w:val="28"/>
        </w:rPr>
      </w:pPr>
      <w:r w:rsidRPr="00407E08">
        <w:rPr>
          <w:rFonts w:ascii="Palatino Linotype" w:eastAsia="Arial" w:hAnsi="Palatino Linotype" w:cs="Arial"/>
          <w:b/>
          <w:sz w:val="28"/>
          <w:szCs w:val="28"/>
        </w:rPr>
        <w:t>Artículo 11</w:t>
      </w:r>
      <w:r w:rsidRPr="00407E08">
        <w:rPr>
          <w:rFonts w:ascii="Palatino Linotype" w:eastAsia="Arial" w:hAnsi="Palatino Linotype" w:cs="Arial"/>
          <w:sz w:val="28"/>
          <w:szCs w:val="28"/>
        </w:rPr>
        <w:t xml:space="preserve">. </w:t>
      </w:r>
      <w:r w:rsidRPr="00407E08">
        <w:rPr>
          <w:rFonts w:ascii="Palatino Linotype" w:hAnsi="Palatino Linotype" w:cs="Arial"/>
          <w:sz w:val="28"/>
          <w:szCs w:val="28"/>
        </w:rPr>
        <w:t xml:space="preserve">El presupuesto para gastos ordinarios permanentes de las Comisiones Operativas Estatales </w:t>
      </w:r>
      <w:r w:rsidRPr="00407E08">
        <w:rPr>
          <w:rFonts w:ascii="Palatino Linotype" w:hAnsi="Palatino Linotype" w:cs="Arial"/>
          <w:b/>
          <w:sz w:val="28"/>
          <w:szCs w:val="28"/>
        </w:rPr>
        <w:t xml:space="preserve">deberá ser aprobado durante el mes de diciembre del ejercicio inmediato anterior al de su ejecución, por la Comisión Nacional de Gasto y Financiamiento y posteriormente por la Comisión Operativa Nacional.  </w:t>
      </w:r>
    </w:p>
    <w:p w14:paraId="4649A27A" w14:textId="77777777" w:rsidR="00DE765C" w:rsidRPr="00407E08" w:rsidRDefault="00DE765C" w:rsidP="00B52FBA">
      <w:pPr>
        <w:pStyle w:val="Texto"/>
        <w:spacing w:after="0" w:line="240" w:lineRule="auto"/>
        <w:ind w:firstLine="0"/>
        <w:rPr>
          <w:rFonts w:ascii="Palatino Linotype" w:hAnsi="Palatino Linotype"/>
          <w:b/>
          <w:sz w:val="28"/>
          <w:szCs w:val="28"/>
        </w:rPr>
      </w:pPr>
    </w:p>
    <w:p w14:paraId="11EB089A" w14:textId="77777777" w:rsidR="00DE765C" w:rsidRPr="00407E08" w:rsidRDefault="00DE765C" w:rsidP="00B52FBA">
      <w:pPr>
        <w:tabs>
          <w:tab w:val="left" w:pos="0"/>
        </w:tabs>
        <w:jc w:val="both"/>
        <w:rPr>
          <w:rFonts w:ascii="Palatino Linotype" w:eastAsia="Arial" w:hAnsi="Palatino Linotype" w:cs="Arial"/>
          <w:sz w:val="28"/>
          <w:szCs w:val="28"/>
        </w:rPr>
      </w:pPr>
      <w:r w:rsidRPr="00407E08">
        <w:rPr>
          <w:rFonts w:ascii="Palatino Linotype" w:hAnsi="Palatino Linotype"/>
          <w:b/>
          <w:sz w:val="28"/>
          <w:szCs w:val="28"/>
        </w:rPr>
        <w:t>La Comisión Nacional de Gasto y Financiamiento, será responsable de integrar y presentar a la aprobación de la Comisión Operativa Nacional, el Presupuesto de Ingresos y Egresos Nacional, dicho presupuesto n</w:t>
      </w:r>
      <w:r w:rsidRPr="00407E08">
        <w:rPr>
          <w:rFonts w:ascii="Palatino Linotype" w:hAnsi="Palatino Linotype"/>
          <w:sz w:val="28"/>
          <w:szCs w:val="28"/>
        </w:rPr>
        <w:t>o deberá exceder en ningún caso al 50% de sus ingresos totales; federales y locales en el pago de nómina</w:t>
      </w:r>
      <w:r w:rsidRPr="00407E08">
        <w:rPr>
          <w:rFonts w:ascii="Palatino Linotype" w:eastAsia="Arial" w:hAnsi="Palatino Linotype" w:cs="Arial"/>
          <w:sz w:val="28"/>
          <w:szCs w:val="28"/>
        </w:rPr>
        <w:t>, con salvedad de los casos en los que la Comisión Operativa Nacional apruebe un porcentaje diferente.</w:t>
      </w:r>
    </w:p>
    <w:p w14:paraId="00B5AD1A" w14:textId="77777777" w:rsidR="00DE765C" w:rsidRPr="00407E08" w:rsidRDefault="00DE765C" w:rsidP="00B52FBA">
      <w:pPr>
        <w:tabs>
          <w:tab w:val="left" w:pos="0"/>
        </w:tabs>
        <w:jc w:val="both"/>
        <w:rPr>
          <w:rFonts w:ascii="Palatino Linotype" w:eastAsia="Arial" w:hAnsi="Palatino Linotype" w:cs="Arial"/>
          <w:sz w:val="28"/>
          <w:szCs w:val="28"/>
        </w:rPr>
      </w:pPr>
    </w:p>
    <w:p w14:paraId="54BE77EA" w14:textId="77777777" w:rsidR="00DE765C" w:rsidRPr="00407E08" w:rsidRDefault="00DE765C" w:rsidP="00B52FBA">
      <w:pPr>
        <w:tabs>
          <w:tab w:val="left" w:pos="0"/>
        </w:tabs>
        <w:jc w:val="both"/>
        <w:rPr>
          <w:rFonts w:ascii="Palatino Linotype" w:eastAsia="Arial" w:hAnsi="Palatino Linotype" w:cs="Arial"/>
          <w:sz w:val="28"/>
          <w:szCs w:val="28"/>
        </w:rPr>
      </w:pPr>
      <w:r w:rsidRPr="00407E08">
        <w:rPr>
          <w:rFonts w:ascii="Palatino Linotype" w:eastAsia="Arial" w:hAnsi="Palatino Linotype" w:cs="Arial"/>
          <w:sz w:val="28"/>
          <w:szCs w:val="28"/>
        </w:rPr>
        <w:t>Al calcular el monto señalado deberán tenerse en cuenta las aportaciones en efectivo recibidas por la Comisión Operativa Estatal, de Militantes y Simpatizantes.</w:t>
      </w:r>
    </w:p>
    <w:p w14:paraId="2A0B3210" w14:textId="77777777" w:rsidR="00DE765C" w:rsidRPr="00407E08" w:rsidRDefault="00DE765C" w:rsidP="00B52FBA">
      <w:pPr>
        <w:tabs>
          <w:tab w:val="left" w:pos="0"/>
        </w:tabs>
        <w:jc w:val="both"/>
        <w:rPr>
          <w:rFonts w:ascii="Palatino Linotype" w:eastAsia="Arial" w:hAnsi="Palatino Linotype" w:cs="Arial"/>
          <w:sz w:val="28"/>
          <w:szCs w:val="28"/>
        </w:rPr>
      </w:pPr>
    </w:p>
    <w:p w14:paraId="0A8C5DE4" w14:textId="77777777" w:rsidR="00DE765C" w:rsidRPr="00407E08" w:rsidRDefault="00DE765C" w:rsidP="00B52FBA">
      <w:pPr>
        <w:tabs>
          <w:tab w:val="left" w:pos="0"/>
        </w:tabs>
        <w:jc w:val="both"/>
        <w:rPr>
          <w:rFonts w:ascii="Palatino Linotype" w:eastAsia="Arial" w:hAnsi="Palatino Linotype" w:cs="Arial"/>
          <w:sz w:val="28"/>
          <w:szCs w:val="28"/>
        </w:rPr>
      </w:pPr>
      <w:r w:rsidRPr="00407E08">
        <w:rPr>
          <w:rFonts w:ascii="Palatino Linotype" w:eastAsia="Arial" w:hAnsi="Palatino Linotype" w:cs="Arial"/>
          <w:b/>
          <w:sz w:val="28"/>
          <w:szCs w:val="28"/>
        </w:rPr>
        <w:lastRenderedPageBreak/>
        <w:t>Artículo 12</w:t>
      </w:r>
      <w:r w:rsidRPr="00407E08">
        <w:rPr>
          <w:rFonts w:ascii="Palatino Linotype" w:eastAsia="Arial" w:hAnsi="Palatino Linotype" w:cs="Arial"/>
          <w:sz w:val="28"/>
          <w:szCs w:val="28"/>
        </w:rPr>
        <w:t xml:space="preserve">. Las Comisiones Operativas Estatales deberán informar el monto total que recibirán de los Organismos Públicos Locales Electorales por concepto de Financiamiento Público para actividades ordinarias, actividades específicas y de campañas electorales locales, dentro de los 10 días posteriores a la aprobación por parte de los Consejos Generales Estatales teniendo como límite el último día del mes de </w:t>
      </w:r>
      <w:proofErr w:type="gramStart"/>
      <w:r w:rsidRPr="00407E08">
        <w:rPr>
          <w:rFonts w:ascii="Palatino Linotype" w:eastAsia="Arial" w:hAnsi="Palatino Linotype" w:cs="Arial"/>
          <w:sz w:val="28"/>
          <w:szCs w:val="28"/>
        </w:rPr>
        <w:t>Marzo</w:t>
      </w:r>
      <w:proofErr w:type="gramEnd"/>
      <w:r w:rsidRPr="00407E08">
        <w:rPr>
          <w:rFonts w:ascii="Palatino Linotype" w:eastAsia="Arial" w:hAnsi="Palatino Linotype" w:cs="Arial"/>
          <w:sz w:val="28"/>
          <w:szCs w:val="28"/>
        </w:rPr>
        <w:t xml:space="preserve">. </w:t>
      </w:r>
    </w:p>
    <w:p w14:paraId="45FAB1A5" w14:textId="77777777" w:rsidR="00DE765C" w:rsidRPr="00407E08" w:rsidRDefault="00DE765C" w:rsidP="00B52FBA">
      <w:pPr>
        <w:tabs>
          <w:tab w:val="left" w:pos="0"/>
        </w:tabs>
        <w:jc w:val="both"/>
        <w:rPr>
          <w:rFonts w:ascii="Palatino Linotype" w:eastAsia="Arial" w:hAnsi="Palatino Linotype" w:cs="Arial"/>
          <w:sz w:val="28"/>
          <w:szCs w:val="28"/>
        </w:rPr>
      </w:pPr>
    </w:p>
    <w:p w14:paraId="3D7DDB29" w14:textId="77777777" w:rsidR="00DE765C" w:rsidRPr="00407E08" w:rsidRDefault="00DE765C" w:rsidP="00B52FBA">
      <w:pPr>
        <w:pStyle w:val="Texto"/>
        <w:spacing w:after="0" w:line="240" w:lineRule="auto"/>
        <w:ind w:firstLine="0"/>
        <w:rPr>
          <w:rFonts w:ascii="Palatino Linotype" w:hAnsi="Palatino Linotype"/>
          <w:sz w:val="28"/>
          <w:szCs w:val="28"/>
        </w:rPr>
      </w:pPr>
      <w:r w:rsidRPr="00407E08">
        <w:rPr>
          <w:rFonts w:ascii="Palatino Linotype" w:eastAsia="Arial" w:hAnsi="Palatino Linotype"/>
          <w:b/>
          <w:sz w:val="28"/>
          <w:szCs w:val="28"/>
          <w:lang w:val="es-MX"/>
        </w:rPr>
        <w:t>Artículo 13</w:t>
      </w:r>
      <w:r w:rsidRPr="00407E08">
        <w:rPr>
          <w:rFonts w:ascii="Palatino Linotype" w:eastAsia="Arial" w:hAnsi="Palatino Linotype"/>
          <w:sz w:val="28"/>
          <w:szCs w:val="28"/>
          <w:lang w:val="es-MX"/>
        </w:rPr>
        <w:t xml:space="preserve">. </w:t>
      </w:r>
      <w:r w:rsidRPr="00407E08">
        <w:rPr>
          <w:rFonts w:ascii="Palatino Linotype" w:hAnsi="Palatino Linotype"/>
          <w:sz w:val="28"/>
          <w:szCs w:val="28"/>
        </w:rPr>
        <w:t xml:space="preserve">Las Comisiones Operativas Estatales tendrán de plazo el último día de </w:t>
      </w:r>
      <w:r w:rsidRPr="00407E08">
        <w:rPr>
          <w:rFonts w:ascii="Palatino Linotype" w:hAnsi="Palatino Linotype"/>
          <w:b/>
          <w:sz w:val="28"/>
          <w:szCs w:val="28"/>
        </w:rPr>
        <w:t>noviembre del ejercicio inmediato anterior</w:t>
      </w:r>
      <w:r w:rsidRPr="00407E08">
        <w:rPr>
          <w:rFonts w:ascii="Palatino Linotype" w:hAnsi="Palatino Linotype"/>
          <w:sz w:val="28"/>
          <w:szCs w:val="28"/>
        </w:rPr>
        <w:t xml:space="preserve">, para presentar el presupuesto anual </w:t>
      </w:r>
      <w:r w:rsidRPr="00407E08">
        <w:rPr>
          <w:rFonts w:ascii="Palatino Linotype" w:hAnsi="Palatino Linotype"/>
          <w:b/>
          <w:sz w:val="28"/>
          <w:szCs w:val="28"/>
        </w:rPr>
        <w:t>de ingresos y egresos</w:t>
      </w:r>
      <w:r w:rsidRPr="00407E08">
        <w:rPr>
          <w:rFonts w:ascii="Palatino Linotype" w:hAnsi="Palatino Linotype"/>
          <w:sz w:val="28"/>
          <w:szCs w:val="28"/>
        </w:rPr>
        <w:t xml:space="preserve"> correspondiente a sus recursos federales y locales para actividades ordinarias, actividades específicas y de campañas electorales locales correspondiente al ejercicio posterior.</w:t>
      </w:r>
    </w:p>
    <w:p w14:paraId="204D9408" w14:textId="77777777" w:rsidR="00DE765C" w:rsidRPr="00407E08" w:rsidRDefault="00DE765C" w:rsidP="00B52FBA">
      <w:pPr>
        <w:pStyle w:val="Texto"/>
        <w:spacing w:after="0" w:line="240" w:lineRule="auto"/>
        <w:ind w:firstLine="0"/>
        <w:rPr>
          <w:rFonts w:ascii="Palatino Linotype" w:hAnsi="Palatino Linotype"/>
          <w:sz w:val="28"/>
          <w:szCs w:val="28"/>
        </w:rPr>
      </w:pPr>
    </w:p>
    <w:p w14:paraId="5B34AC1B" w14:textId="77777777" w:rsidR="00DE765C" w:rsidRPr="00407E08" w:rsidRDefault="00DE765C" w:rsidP="00B52FBA">
      <w:pPr>
        <w:tabs>
          <w:tab w:val="left" w:pos="0"/>
        </w:tabs>
        <w:jc w:val="both"/>
        <w:rPr>
          <w:rFonts w:ascii="Palatino Linotype" w:eastAsia="Arial" w:hAnsi="Palatino Linotype" w:cs="Arial"/>
          <w:sz w:val="28"/>
          <w:szCs w:val="28"/>
        </w:rPr>
      </w:pPr>
      <w:r w:rsidRPr="00407E08">
        <w:rPr>
          <w:rFonts w:ascii="Palatino Linotype" w:hAnsi="Palatino Linotype"/>
          <w:sz w:val="28"/>
          <w:szCs w:val="28"/>
        </w:rPr>
        <w:t xml:space="preserve">Durante el mes de enero del ejercicio que corresponda y con base en </w:t>
      </w:r>
      <w:r w:rsidRPr="00407E08">
        <w:rPr>
          <w:rFonts w:ascii="Palatino Linotype" w:hAnsi="Palatino Linotype"/>
          <w:b/>
          <w:sz w:val="28"/>
          <w:szCs w:val="28"/>
        </w:rPr>
        <w:t>los acuerdos de financiamiento público local aprobados por los Organismos Públicos Locales en cada entidad, podrán solicitar ajustes a los ingresos y gastos.</w:t>
      </w:r>
    </w:p>
    <w:p w14:paraId="0EBB604D" w14:textId="77777777" w:rsidR="00DE765C" w:rsidRPr="00407E08" w:rsidRDefault="00DE765C" w:rsidP="00B52FBA">
      <w:pPr>
        <w:tabs>
          <w:tab w:val="left" w:pos="0"/>
        </w:tabs>
        <w:jc w:val="both"/>
        <w:rPr>
          <w:rFonts w:ascii="Palatino Linotype" w:eastAsia="Arial" w:hAnsi="Palatino Linotype" w:cs="Arial"/>
          <w:sz w:val="28"/>
          <w:szCs w:val="28"/>
        </w:rPr>
      </w:pPr>
    </w:p>
    <w:p w14:paraId="456A314E" w14:textId="77777777" w:rsidR="00DE765C" w:rsidRPr="00407E08" w:rsidRDefault="00DE765C" w:rsidP="00B52FBA">
      <w:pPr>
        <w:tabs>
          <w:tab w:val="left" w:pos="0"/>
        </w:tabs>
        <w:jc w:val="both"/>
        <w:rPr>
          <w:rFonts w:ascii="Palatino Linotype" w:eastAsia="Arial" w:hAnsi="Palatino Linotype" w:cs="Arial"/>
          <w:sz w:val="28"/>
          <w:szCs w:val="28"/>
        </w:rPr>
      </w:pPr>
      <w:r w:rsidRPr="00407E08">
        <w:rPr>
          <w:rFonts w:ascii="Palatino Linotype" w:eastAsia="Arial" w:hAnsi="Palatino Linotype" w:cs="Arial"/>
          <w:b/>
          <w:sz w:val="28"/>
          <w:szCs w:val="28"/>
        </w:rPr>
        <w:t>Artículo 14</w:t>
      </w:r>
      <w:r w:rsidRPr="00407E08">
        <w:rPr>
          <w:rFonts w:ascii="Palatino Linotype" w:eastAsia="Arial" w:hAnsi="Palatino Linotype" w:cs="Arial"/>
          <w:sz w:val="28"/>
          <w:szCs w:val="28"/>
        </w:rPr>
        <w:t xml:space="preserve">. El Ciudadano que obtenga un cargo de representación proporcional o de mayoría relativa, </w:t>
      </w:r>
      <w:r w:rsidRPr="00407E08">
        <w:rPr>
          <w:rFonts w:ascii="Palatino Linotype" w:eastAsia="Arial" w:hAnsi="Palatino Linotype" w:cs="Arial"/>
          <w:b/>
          <w:sz w:val="28"/>
          <w:szCs w:val="28"/>
        </w:rPr>
        <w:t>deberá</w:t>
      </w:r>
      <w:r w:rsidRPr="00407E08">
        <w:rPr>
          <w:rFonts w:ascii="Palatino Linotype" w:eastAsia="Arial" w:hAnsi="Palatino Linotype" w:cs="Arial"/>
          <w:sz w:val="28"/>
          <w:szCs w:val="28"/>
        </w:rPr>
        <w:t xml:space="preserve"> aportar para el ahorro de las campañas electorales federales o locales, </w:t>
      </w:r>
      <w:r w:rsidR="007D0FFD" w:rsidRPr="00407E08">
        <w:rPr>
          <w:rFonts w:ascii="Palatino Linotype" w:eastAsia="Arial" w:hAnsi="Palatino Linotype" w:cs="Arial"/>
          <w:sz w:val="28"/>
          <w:szCs w:val="28"/>
        </w:rPr>
        <w:t xml:space="preserve">aportando </w:t>
      </w:r>
      <w:r w:rsidRPr="00407E08">
        <w:rPr>
          <w:rFonts w:ascii="Palatino Linotype" w:eastAsia="Arial" w:hAnsi="Palatino Linotype" w:cs="Arial"/>
          <w:sz w:val="28"/>
          <w:szCs w:val="28"/>
        </w:rPr>
        <w:t xml:space="preserve">el </w:t>
      </w:r>
      <w:r w:rsidRPr="00407E08">
        <w:rPr>
          <w:rFonts w:ascii="Palatino Linotype" w:eastAsia="Arial" w:hAnsi="Palatino Linotype" w:cs="Arial"/>
          <w:b/>
          <w:sz w:val="28"/>
          <w:szCs w:val="28"/>
        </w:rPr>
        <w:t>10</w:t>
      </w:r>
      <w:r w:rsidRPr="00407E08">
        <w:rPr>
          <w:rFonts w:ascii="Palatino Linotype" w:eastAsia="Arial" w:hAnsi="Palatino Linotype" w:cs="Arial"/>
          <w:sz w:val="28"/>
          <w:szCs w:val="28"/>
        </w:rPr>
        <w:t>% de su percepción neta mensual en calidad de donativo ciudadano.</w:t>
      </w:r>
    </w:p>
    <w:p w14:paraId="15F2542E" w14:textId="77777777" w:rsidR="00800EE6" w:rsidRPr="00407E08" w:rsidRDefault="00800EE6" w:rsidP="00B52FBA">
      <w:pPr>
        <w:tabs>
          <w:tab w:val="left" w:pos="0"/>
        </w:tabs>
        <w:jc w:val="both"/>
        <w:rPr>
          <w:rFonts w:ascii="Palatino Linotype" w:eastAsia="Arial" w:hAnsi="Palatino Linotype" w:cs="Arial"/>
          <w:b/>
          <w:sz w:val="28"/>
          <w:szCs w:val="28"/>
        </w:rPr>
      </w:pPr>
    </w:p>
    <w:p w14:paraId="0C943032" w14:textId="77777777" w:rsidR="00DE765C" w:rsidRPr="00407E08" w:rsidRDefault="00DE765C" w:rsidP="00B52FBA">
      <w:pPr>
        <w:tabs>
          <w:tab w:val="left" w:pos="0"/>
        </w:tabs>
        <w:jc w:val="both"/>
        <w:rPr>
          <w:rFonts w:ascii="Palatino Linotype" w:eastAsia="Arial" w:hAnsi="Palatino Linotype" w:cs="Arial"/>
          <w:sz w:val="28"/>
          <w:szCs w:val="28"/>
        </w:rPr>
      </w:pPr>
      <w:r w:rsidRPr="00407E08">
        <w:rPr>
          <w:rFonts w:ascii="Palatino Linotype" w:eastAsia="Arial" w:hAnsi="Palatino Linotype" w:cs="Arial"/>
          <w:b/>
          <w:sz w:val="28"/>
          <w:szCs w:val="28"/>
        </w:rPr>
        <w:t xml:space="preserve">Los funcionarios públicos que señala el párrafo anterior, deberán </w:t>
      </w:r>
      <w:r w:rsidRPr="00407E08">
        <w:rPr>
          <w:rFonts w:ascii="Palatino Linotype" w:eastAsia="Arial" w:hAnsi="Palatino Linotype" w:cs="Arial"/>
          <w:sz w:val="28"/>
          <w:szCs w:val="28"/>
        </w:rPr>
        <w:t xml:space="preserve">comprometerse por escrito a la entrega periódica de recursos económicos, </w:t>
      </w:r>
      <w:r w:rsidRPr="00407E08">
        <w:rPr>
          <w:rFonts w:ascii="Palatino Linotype" w:eastAsia="Arial" w:hAnsi="Palatino Linotype" w:cs="Arial"/>
          <w:b/>
          <w:sz w:val="28"/>
          <w:szCs w:val="28"/>
        </w:rPr>
        <w:t>estas aportaciones</w:t>
      </w:r>
      <w:r w:rsidRPr="00407E08">
        <w:rPr>
          <w:rFonts w:ascii="Palatino Linotype" w:eastAsia="Arial" w:hAnsi="Palatino Linotype" w:cs="Arial"/>
          <w:sz w:val="28"/>
          <w:szCs w:val="28"/>
        </w:rPr>
        <w:t xml:space="preserve"> se denominarán </w:t>
      </w:r>
      <w:r w:rsidRPr="00407E08">
        <w:rPr>
          <w:rFonts w:ascii="Palatino Linotype" w:eastAsia="Arial" w:hAnsi="Palatino Linotype" w:cs="Arial"/>
          <w:b/>
          <w:sz w:val="28"/>
          <w:szCs w:val="28"/>
        </w:rPr>
        <w:t>aportaciones</w:t>
      </w:r>
      <w:r w:rsidRPr="00407E08">
        <w:rPr>
          <w:rFonts w:ascii="Palatino Linotype" w:eastAsia="Arial" w:hAnsi="Palatino Linotype" w:cs="Arial"/>
          <w:sz w:val="28"/>
          <w:szCs w:val="28"/>
        </w:rPr>
        <w:t xml:space="preserve"> ordinarias. </w:t>
      </w:r>
    </w:p>
    <w:p w14:paraId="2C09AC95" w14:textId="77777777" w:rsidR="00DE765C" w:rsidRPr="00407E08" w:rsidRDefault="00DE765C" w:rsidP="00B52FBA">
      <w:pPr>
        <w:tabs>
          <w:tab w:val="left" w:pos="0"/>
        </w:tabs>
        <w:jc w:val="both"/>
        <w:rPr>
          <w:rFonts w:ascii="Palatino Linotype" w:eastAsia="Arial" w:hAnsi="Palatino Linotype" w:cs="Arial"/>
          <w:sz w:val="28"/>
          <w:szCs w:val="28"/>
        </w:rPr>
      </w:pPr>
    </w:p>
    <w:p w14:paraId="0A2E8F5F" w14:textId="77777777" w:rsidR="00DE765C" w:rsidRPr="00407E08" w:rsidRDefault="00DE765C" w:rsidP="00B52FBA">
      <w:pPr>
        <w:tabs>
          <w:tab w:val="left" w:pos="0"/>
        </w:tabs>
        <w:jc w:val="both"/>
        <w:rPr>
          <w:rFonts w:ascii="Palatino Linotype" w:eastAsia="Arial" w:hAnsi="Palatino Linotype" w:cs="Arial"/>
          <w:b/>
          <w:sz w:val="28"/>
          <w:szCs w:val="28"/>
        </w:rPr>
      </w:pPr>
      <w:r w:rsidRPr="00407E08">
        <w:rPr>
          <w:rFonts w:ascii="Palatino Linotype" w:eastAsia="Arial" w:hAnsi="Palatino Linotype" w:cs="Arial"/>
          <w:b/>
          <w:sz w:val="28"/>
          <w:szCs w:val="28"/>
        </w:rPr>
        <w:t>Los recursos deberán ser depositados a la cuenta bancaria que para tal efecto designe la Tesorería Nacional de Movimiento Ciudadano y deberá realizarse mediante cheque o transferencia directamente de la cuenta bancaria del aportante, no se permite la transferencia a través de fracciones parlamentarias o figuras similares.</w:t>
      </w:r>
    </w:p>
    <w:p w14:paraId="373EEEAD" w14:textId="77777777" w:rsidR="00DE765C" w:rsidRPr="00407E08" w:rsidRDefault="00DE765C" w:rsidP="00B52FBA">
      <w:pPr>
        <w:tabs>
          <w:tab w:val="left" w:pos="0"/>
        </w:tabs>
        <w:jc w:val="both"/>
        <w:rPr>
          <w:rFonts w:ascii="Palatino Linotype" w:eastAsia="Arial" w:hAnsi="Palatino Linotype" w:cs="Arial"/>
          <w:b/>
          <w:sz w:val="28"/>
          <w:szCs w:val="28"/>
        </w:rPr>
      </w:pPr>
    </w:p>
    <w:p w14:paraId="04574169" w14:textId="77777777" w:rsidR="00DE765C" w:rsidRPr="00407E08" w:rsidRDefault="00DE765C" w:rsidP="00B52FBA">
      <w:pPr>
        <w:tabs>
          <w:tab w:val="left" w:pos="0"/>
        </w:tabs>
        <w:jc w:val="both"/>
        <w:rPr>
          <w:rFonts w:ascii="Palatino Linotype" w:eastAsia="Arial" w:hAnsi="Palatino Linotype" w:cs="Arial"/>
          <w:b/>
          <w:sz w:val="28"/>
          <w:szCs w:val="28"/>
        </w:rPr>
      </w:pPr>
      <w:r w:rsidRPr="00407E08">
        <w:rPr>
          <w:rFonts w:ascii="Palatino Linotype" w:eastAsia="Arial" w:hAnsi="Palatino Linotype" w:cs="Arial"/>
          <w:b/>
          <w:sz w:val="28"/>
          <w:szCs w:val="28"/>
        </w:rPr>
        <w:t>Las aportaciones deberán cumplir con lo dispuesto en el Reglamento de Fiscalización vigente a la fecha de la aportación.</w:t>
      </w:r>
    </w:p>
    <w:p w14:paraId="22751577" w14:textId="77777777" w:rsidR="00DE765C" w:rsidRPr="00407E08" w:rsidRDefault="00DE765C" w:rsidP="00B52FBA">
      <w:pPr>
        <w:tabs>
          <w:tab w:val="left" w:pos="0"/>
        </w:tabs>
        <w:jc w:val="both"/>
        <w:rPr>
          <w:rFonts w:ascii="Palatino Linotype" w:eastAsia="Arial" w:hAnsi="Palatino Linotype" w:cs="Arial"/>
          <w:b/>
          <w:sz w:val="28"/>
          <w:szCs w:val="28"/>
        </w:rPr>
      </w:pPr>
    </w:p>
    <w:p w14:paraId="00C5322D" w14:textId="77777777" w:rsidR="00DE765C" w:rsidRPr="00407E08" w:rsidRDefault="00DE765C" w:rsidP="00B52FBA">
      <w:pPr>
        <w:tabs>
          <w:tab w:val="left" w:pos="0"/>
        </w:tabs>
        <w:jc w:val="both"/>
        <w:rPr>
          <w:rFonts w:ascii="Palatino Linotype" w:eastAsia="Arial" w:hAnsi="Palatino Linotype" w:cs="Arial"/>
          <w:sz w:val="28"/>
          <w:szCs w:val="28"/>
        </w:rPr>
      </w:pPr>
      <w:r w:rsidRPr="00407E08">
        <w:rPr>
          <w:rFonts w:ascii="Palatino Linotype" w:eastAsia="Arial" w:hAnsi="Palatino Linotype" w:cs="Arial"/>
          <w:sz w:val="28"/>
          <w:szCs w:val="28"/>
        </w:rPr>
        <w:t>Cuando los Ciudadanos en general determinen realizar aportaciones esporádicas con recursos económicos propios se denominarán cuotas extraordinarias.</w:t>
      </w:r>
    </w:p>
    <w:p w14:paraId="2822A7D0" w14:textId="77777777" w:rsidR="00DE765C" w:rsidRPr="00407E08" w:rsidRDefault="00DE765C" w:rsidP="00B52FBA">
      <w:pPr>
        <w:tabs>
          <w:tab w:val="left" w:pos="0"/>
        </w:tabs>
        <w:jc w:val="both"/>
        <w:rPr>
          <w:rFonts w:ascii="Palatino Linotype" w:eastAsia="Arial" w:hAnsi="Palatino Linotype" w:cs="Arial"/>
          <w:sz w:val="28"/>
          <w:szCs w:val="28"/>
        </w:rPr>
      </w:pPr>
    </w:p>
    <w:p w14:paraId="548CAAA2" w14:textId="77777777" w:rsidR="00DE765C" w:rsidRPr="00407E08" w:rsidRDefault="00DE765C" w:rsidP="00B52FBA">
      <w:pPr>
        <w:tabs>
          <w:tab w:val="left" w:pos="0"/>
        </w:tabs>
        <w:jc w:val="both"/>
        <w:rPr>
          <w:rFonts w:ascii="Palatino Linotype" w:eastAsia="Arial" w:hAnsi="Palatino Linotype" w:cs="Arial"/>
          <w:b/>
          <w:sz w:val="28"/>
          <w:szCs w:val="28"/>
        </w:rPr>
      </w:pPr>
      <w:r w:rsidRPr="00407E08">
        <w:rPr>
          <w:rFonts w:ascii="Palatino Linotype" w:eastAsia="Arial" w:hAnsi="Palatino Linotype" w:cs="Arial"/>
          <w:b/>
          <w:sz w:val="28"/>
          <w:szCs w:val="28"/>
        </w:rPr>
        <w:t>No está permitido realizar las aportaciones ordinarias o extraordinarias en efectivo.</w:t>
      </w:r>
    </w:p>
    <w:p w14:paraId="337AE68D" w14:textId="77777777" w:rsidR="00DE765C" w:rsidRPr="00407E08" w:rsidRDefault="00DE765C" w:rsidP="00B52FBA">
      <w:pPr>
        <w:tabs>
          <w:tab w:val="left" w:pos="0"/>
        </w:tabs>
        <w:jc w:val="both"/>
        <w:rPr>
          <w:rFonts w:ascii="Palatino Linotype" w:eastAsia="Arial" w:hAnsi="Palatino Linotype" w:cs="Arial"/>
          <w:b/>
          <w:sz w:val="28"/>
          <w:szCs w:val="28"/>
        </w:rPr>
      </w:pPr>
    </w:p>
    <w:p w14:paraId="0CEB7B5A" w14:textId="77777777" w:rsidR="00DE765C" w:rsidRPr="00407E08" w:rsidRDefault="00DE765C" w:rsidP="00B52FBA">
      <w:pPr>
        <w:tabs>
          <w:tab w:val="left" w:pos="0"/>
        </w:tabs>
        <w:jc w:val="both"/>
        <w:rPr>
          <w:rFonts w:ascii="Palatino Linotype" w:eastAsia="Arial" w:hAnsi="Palatino Linotype" w:cs="Arial"/>
          <w:sz w:val="28"/>
          <w:szCs w:val="28"/>
        </w:rPr>
      </w:pPr>
      <w:r w:rsidRPr="00407E08">
        <w:rPr>
          <w:rFonts w:ascii="Palatino Linotype" w:eastAsia="Arial" w:hAnsi="Palatino Linotype" w:cs="Arial"/>
          <w:sz w:val="28"/>
          <w:szCs w:val="28"/>
        </w:rPr>
        <w:t xml:space="preserve">Los donativos o </w:t>
      </w:r>
      <w:r w:rsidRPr="00407E08">
        <w:rPr>
          <w:rFonts w:ascii="Palatino Linotype" w:eastAsia="Arial" w:hAnsi="Palatino Linotype" w:cs="Arial"/>
          <w:b/>
          <w:sz w:val="28"/>
          <w:szCs w:val="28"/>
        </w:rPr>
        <w:t>aportaciones</w:t>
      </w:r>
      <w:r w:rsidRPr="00407E08">
        <w:rPr>
          <w:rFonts w:ascii="Palatino Linotype" w:eastAsia="Arial" w:hAnsi="Palatino Linotype" w:cs="Arial"/>
          <w:sz w:val="28"/>
          <w:szCs w:val="28"/>
        </w:rPr>
        <w:t xml:space="preserve"> a los que se refiere el presente artículo, serán registrados contablemente como aportaciones de simpatizantes o militantes, respetando lo establecido en el Reglamento de Fiscalización.</w:t>
      </w:r>
    </w:p>
    <w:p w14:paraId="40E7F427" w14:textId="77777777" w:rsidR="00DE765C" w:rsidRPr="00407E08" w:rsidRDefault="00DE765C" w:rsidP="00B52FBA">
      <w:pPr>
        <w:tabs>
          <w:tab w:val="left" w:pos="0"/>
        </w:tabs>
        <w:jc w:val="both"/>
        <w:rPr>
          <w:rFonts w:ascii="Palatino Linotype" w:eastAsia="Arial" w:hAnsi="Palatino Linotype" w:cs="Arial"/>
          <w:b/>
          <w:sz w:val="28"/>
          <w:szCs w:val="28"/>
        </w:rPr>
      </w:pPr>
    </w:p>
    <w:p w14:paraId="1D8E4873" w14:textId="77777777" w:rsidR="00DE765C" w:rsidRPr="00407E08" w:rsidRDefault="00DE765C" w:rsidP="00B52FBA">
      <w:pPr>
        <w:tabs>
          <w:tab w:val="left" w:pos="0"/>
        </w:tabs>
        <w:jc w:val="both"/>
        <w:rPr>
          <w:rFonts w:ascii="Palatino Linotype" w:eastAsia="Arial" w:hAnsi="Palatino Linotype" w:cs="Arial"/>
          <w:sz w:val="28"/>
          <w:szCs w:val="28"/>
        </w:rPr>
      </w:pPr>
      <w:r w:rsidRPr="00407E08">
        <w:rPr>
          <w:rFonts w:ascii="Palatino Linotype" w:eastAsia="Arial" w:hAnsi="Palatino Linotype" w:cs="Arial"/>
          <w:b/>
          <w:sz w:val="28"/>
          <w:szCs w:val="28"/>
        </w:rPr>
        <w:t>Artículo 15</w:t>
      </w:r>
      <w:r w:rsidRPr="00407E08">
        <w:rPr>
          <w:rFonts w:ascii="Palatino Linotype" w:eastAsia="Arial" w:hAnsi="Palatino Linotype" w:cs="Arial"/>
          <w:sz w:val="28"/>
          <w:szCs w:val="28"/>
        </w:rPr>
        <w:t>. El Financiamiento Público Ordinario Federal y Local, destinado a las Comisiones Operativas Estatales será enviado por la Tesorería Nacional, con el cumplimiento de los siguientes requisitos:</w:t>
      </w:r>
    </w:p>
    <w:p w14:paraId="767E13CE" w14:textId="77777777" w:rsidR="00DE765C" w:rsidRPr="00407E08" w:rsidRDefault="00DE765C" w:rsidP="00B52FBA">
      <w:pPr>
        <w:tabs>
          <w:tab w:val="left" w:pos="0"/>
        </w:tabs>
        <w:jc w:val="both"/>
        <w:rPr>
          <w:rFonts w:ascii="Palatino Linotype" w:eastAsia="Arial" w:hAnsi="Palatino Linotype" w:cs="Arial"/>
          <w:sz w:val="28"/>
          <w:szCs w:val="28"/>
        </w:rPr>
      </w:pPr>
    </w:p>
    <w:p w14:paraId="5DCAB03C" w14:textId="77777777" w:rsidR="00DE765C" w:rsidRPr="00407E08" w:rsidRDefault="00DE765C" w:rsidP="00B52FBA">
      <w:pPr>
        <w:pStyle w:val="Prrafodelista"/>
        <w:numPr>
          <w:ilvl w:val="0"/>
          <w:numId w:val="4"/>
        </w:numPr>
        <w:ind w:left="993" w:hanging="426"/>
        <w:jc w:val="both"/>
        <w:rPr>
          <w:rFonts w:ascii="Palatino Linotype" w:eastAsia="Arial" w:hAnsi="Palatino Linotype" w:cs="Arial"/>
          <w:b/>
          <w:sz w:val="28"/>
          <w:szCs w:val="28"/>
          <w:lang w:val="es-MX"/>
        </w:rPr>
      </w:pPr>
      <w:r w:rsidRPr="00407E08">
        <w:rPr>
          <w:rFonts w:ascii="Palatino Linotype" w:eastAsia="Arial" w:hAnsi="Palatino Linotype" w:cs="Arial"/>
          <w:b/>
          <w:sz w:val="28"/>
          <w:szCs w:val="28"/>
          <w:lang w:val="es-MX"/>
        </w:rPr>
        <w:t>Estar previamente aprobado por la Comisión Nacional de Gasto y Financiamiento, a través del Presupuesto de Ingresos y Egresos Nacionales.</w:t>
      </w:r>
    </w:p>
    <w:p w14:paraId="43D7C4F0" w14:textId="77777777" w:rsidR="00DE765C" w:rsidRPr="00407E08" w:rsidRDefault="00DE765C" w:rsidP="00B52FBA">
      <w:pPr>
        <w:pStyle w:val="Prrafodelista"/>
        <w:numPr>
          <w:ilvl w:val="0"/>
          <w:numId w:val="4"/>
        </w:numPr>
        <w:ind w:left="993" w:hanging="426"/>
        <w:jc w:val="both"/>
        <w:rPr>
          <w:rFonts w:ascii="Palatino Linotype" w:eastAsia="Arial" w:hAnsi="Palatino Linotype" w:cs="Arial"/>
          <w:sz w:val="28"/>
          <w:szCs w:val="28"/>
          <w:lang w:val="es-MX"/>
        </w:rPr>
      </w:pPr>
      <w:r w:rsidRPr="00407E08">
        <w:rPr>
          <w:rFonts w:ascii="Palatino Linotype" w:eastAsia="Arial" w:hAnsi="Palatino Linotype" w:cs="Arial"/>
          <w:sz w:val="28"/>
          <w:szCs w:val="28"/>
          <w:lang w:val="es-MX"/>
        </w:rPr>
        <w:t>Cumplir con las obligaciones hacendarias, de seguridad social, transparencia, procedimientos oficiosos y, otros que surjan durante el propio cumplimiento de la normatividad electoral.</w:t>
      </w:r>
    </w:p>
    <w:p w14:paraId="47AB0E8B" w14:textId="77777777" w:rsidR="00DE765C" w:rsidRPr="00407E08" w:rsidRDefault="00DE765C" w:rsidP="00B52FBA">
      <w:pPr>
        <w:pStyle w:val="Prrafodelista"/>
        <w:numPr>
          <w:ilvl w:val="0"/>
          <w:numId w:val="4"/>
        </w:numPr>
        <w:ind w:left="993" w:hanging="426"/>
        <w:jc w:val="both"/>
        <w:rPr>
          <w:rFonts w:ascii="Palatino Linotype" w:eastAsia="Arial" w:hAnsi="Palatino Linotype" w:cs="Arial"/>
          <w:sz w:val="28"/>
          <w:szCs w:val="28"/>
          <w:lang w:val="es-MX"/>
        </w:rPr>
      </w:pPr>
      <w:r w:rsidRPr="00407E08">
        <w:rPr>
          <w:rFonts w:ascii="Palatino Linotype" w:eastAsia="Arial" w:hAnsi="Palatino Linotype" w:cs="Arial"/>
          <w:sz w:val="28"/>
          <w:szCs w:val="28"/>
          <w:lang w:val="es-MX"/>
        </w:rPr>
        <w:t>Presentar sus registros contables y evidencia documental dentro del Sistema Integral de Fiscalización dentro de los 3 días posteriores a la fecha de que reciba el ingreso o se genere el comprobante fiscal digital del egreso, incluyendo los archivos en los formatos PDF y XML, en apego a lo establecido en la legislación electoral.</w:t>
      </w:r>
    </w:p>
    <w:p w14:paraId="0859BECB" w14:textId="77777777" w:rsidR="00DE765C" w:rsidRPr="00407E08" w:rsidRDefault="00DE765C" w:rsidP="00B52FBA">
      <w:pPr>
        <w:pStyle w:val="Prrafodelista"/>
        <w:numPr>
          <w:ilvl w:val="0"/>
          <w:numId w:val="4"/>
        </w:numPr>
        <w:ind w:left="993" w:hanging="426"/>
        <w:jc w:val="both"/>
        <w:rPr>
          <w:rFonts w:ascii="Palatino Linotype" w:eastAsia="Arial" w:hAnsi="Palatino Linotype" w:cs="Arial"/>
          <w:sz w:val="28"/>
          <w:szCs w:val="28"/>
          <w:lang w:val="es-MX"/>
        </w:rPr>
      </w:pPr>
      <w:r w:rsidRPr="00407E08">
        <w:rPr>
          <w:rFonts w:ascii="Palatino Linotype" w:eastAsia="Arial" w:hAnsi="Palatino Linotype" w:cs="Arial"/>
          <w:sz w:val="28"/>
          <w:szCs w:val="28"/>
          <w:lang w:val="es-MX"/>
        </w:rPr>
        <w:t xml:space="preserve">Entregar trimestralmente un reporte desagregado mensualmente respecto de sus ingresos y egresos de los recursos obtenidos del financiamiento público federal y local, del autofinanciamiento y de las aportaciones que reciban de sus </w:t>
      </w:r>
      <w:r w:rsidRPr="00407E08">
        <w:rPr>
          <w:rFonts w:ascii="Palatino Linotype" w:eastAsia="Arial" w:hAnsi="Palatino Linotype" w:cs="Arial"/>
          <w:sz w:val="28"/>
          <w:szCs w:val="28"/>
          <w:lang w:val="es-MX"/>
        </w:rPr>
        <w:lastRenderedPageBreak/>
        <w:t xml:space="preserve">militantes y simpatizantes. Dicho reporte deberá desglosar todos los conceptos de gasto, adquisiciones, contrataciones de bienes y recursos humanos. </w:t>
      </w:r>
    </w:p>
    <w:p w14:paraId="75F9327B" w14:textId="77777777" w:rsidR="00DE765C" w:rsidRPr="00407E08" w:rsidRDefault="00DE765C" w:rsidP="00B52FBA">
      <w:pPr>
        <w:pStyle w:val="Prrafodelista"/>
        <w:numPr>
          <w:ilvl w:val="0"/>
          <w:numId w:val="4"/>
        </w:numPr>
        <w:ind w:left="993" w:hanging="426"/>
        <w:jc w:val="both"/>
        <w:rPr>
          <w:rFonts w:ascii="Palatino Linotype" w:eastAsia="Arial" w:hAnsi="Palatino Linotype" w:cs="Arial"/>
          <w:sz w:val="28"/>
          <w:szCs w:val="28"/>
          <w:lang w:val="es-MX"/>
        </w:rPr>
      </w:pPr>
      <w:r w:rsidRPr="00407E08">
        <w:rPr>
          <w:rFonts w:ascii="Palatino Linotype" w:eastAsia="Arial" w:hAnsi="Palatino Linotype" w:cs="Arial"/>
          <w:sz w:val="28"/>
          <w:szCs w:val="28"/>
          <w:lang w:val="es-MX"/>
        </w:rPr>
        <w:t>Cumplir con los estatutos, reglamentos, lineamientos y manuales que regulan a Movimiento Ciudadano.</w:t>
      </w:r>
    </w:p>
    <w:p w14:paraId="7412967C" w14:textId="77777777" w:rsidR="00DE765C" w:rsidRPr="00407E08" w:rsidRDefault="00DE765C" w:rsidP="00B52FBA">
      <w:pPr>
        <w:tabs>
          <w:tab w:val="left" w:pos="0"/>
        </w:tabs>
        <w:jc w:val="both"/>
        <w:rPr>
          <w:rFonts w:ascii="Palatino Linotype" w:eastAsia="Arial" w:hAnsi="Palatino Linotype" w:cs="Arial"/>
          <w:sz w:val="28"/>
          <w:szCs w:val="28"/>
        </w:rPr>
      </w:pPr>
    </w:p>
    <w:p w14:paraId="0824125B" w14:textId="77777777" w:rsidR="00DE765C" w:rsidRPr="00407E08" w:rsidRDefault="00DE765C" w:rsidP="00B52FBA">
      <w:pPr>
        <w:tabs>
          <w:tab w:val="left" w:pos="0"/>
        </w:tabs>
        <w:jc w:val="both"/>
        <w:rPr>
          <w:rFonts w:ascii="Palatino Linotype" w:eastAsia="Arial" w:hAnsi="Palatino Linotype" w:cs="Arial"/>
          <w:sz w:val="28"/>
          <w:szCs w:val="28"/>
        </w:rPr>
      </w:pPr>
      <w:r w:rsidRPr="00407E08">
        <w:rPr>
          <w:rFonts w:ascii="Palatino Linotype" w:eastAsia="Arial" w:hAnsi="Palatino Linotype" w:cs="Arial"/>
          <w:b/>
          <w:sz w:val="28"/>
          <w:szCs w:val="28"/>
        </w:rPr>
        <w:t>Artículo 16</w:t>
      </w:r>
      <w:r w:rsidRPr="00407E08">
        <w:rPr>
          <w:rFonts w:ascii="Palatino Linotype" w:eastAsia="Arial" w:hAnsi="Palatino Linotype" w:cs="Arial"/>
          <w:sz w:val="28"/>
          <w:szCs w:val="28"/>
        </w:rPr>
        <w:t>. El Financiamiento público ordinario federal correspondiente a las Comisiones Operativas Estatales que no cumpla los requisitos señalados en el artículo 15 del presente Reglamento, será retenido parcial o totalmente.</w:t>
      </w:r>
    </w:p>
    <w:p w14:paraId="6AE0D18C" w14:textId="77777777" w:rsidR="00DE765C" w:rsidRPr="00407E08" w:rsidRDefault="00DE765C" w:rsidP="00B52FBA">
      <w:pPr>
        <w:tabs>
          <w:tab w:val="left" w:pos="0"/>
        </w:tabs>
        <w:jc w:val="both"/>
        <w:rPr>
          <w:rFonts w:ascii="Palatino Linotype" w:eastAsia="Arial" w:hAnsi="Palatino Linotype" w:cs="Arial"/>
          <w:sz w:val="28"/>
          <w:szCs w:val="28"/>
        </w:rPr>
      </w:pPr>
      <w:r w:rsidRPr="00407E08">
        <w:rPr>
          <w:rFonts w:ascii="Palatino Linotype" w:eastAsia="Arial" w:hAnsi="Palatino Linotype" w:cs="Arial"/>
          <w:sz w:val="28"/>
          <w:szCs w:val="28"/>
        </w:rPr>
        <w:t xml:space="preserve"> </w:t>
      </w:r>
    </w:p>
    <w:p w14:paraId="4DD3D34E" w14:textId="77777777" w:rsidR="00DE765C" w:rsidRPr="00407E08" w:rsidRDefault="00DE765C" w:rsidP="00B52FBA">
      <w:pPr>
        <w:tabs>
          <w:tab w:val="left" w:pos="0"/>
        </w:tabs>
        <w:jc w:val="both"/>
        <w:rPr>
          <w:rFonts w:ascii="Palatino Linotype" w:eastAsia="Arial" w:hAnsi="Palatino Linotype" w:cs="Arial"/>
          <w:sz w:val="28"/>
          <w:szCs w:val="28"/>
        </w:rPr>
      </w:pPr>
      <w:r w:rsidRPr="00407E08">
        <w:rPr>
          <w:rFonts w:ascii="Palatino Linotype" w:eastAsia="Arial" w:hAnsi="Palatino Linotype" w:cs="Arial"/>
          <w:b/>
          <w:sz w:val="28"/>
          <w:szCs w:val="28"/>
        </w:rPr>
        <w:t>Artículo 17</w:t>
      </w:r>
      <w:r w:rsidRPr="00407E08">
        <w:rPr>
          <w:rFonts w:ascii="Palatino Linotype" w:eastAsia="Arial" w:hAnsi="Palatino Linotype" w:cs="Arial"/>
          <w:sz w:val="28"/>
          <w:szCs w:val="28"/>
        </w:rPr>
        <w:t>. Las Comisiones Operativas Estatales perderán su derecho a los fondos retenidos cuando no regularicen su situación dentro de los 10 días siguientes a que reciban la notificación de regularización de la Tesorería Nacional, en cuyo caso esos fondos incrementarán el ahorro para campañas electorales locales y federales.</w:t>
      </w:r>
    </w:p>
    <w:p w14:paraId="525E4375" w14:textId="77777777" w:rsidR="00DE765C" w:rsidRPr="00407E08" w:rsidRDefault="00DE765C" w:rsidP="00B52FBA">
      <w:pPr>
        <w:tabs>
          <w:tab w:val="left" w:pos="0"/>
        </w:tabs>
        <w:jc w:val="both"/>
        <w:rPr>
          <w:rFonts w:ascii="Palatino Linotype" w:eastAsia="Arial" w:hAnsi="Palatino Linotype" w:cs="Arial"/>
          <w:sz w:val="28"/>
          <w:szCs w:val="28"/>
        </w:rPr>
      </w:pPr>
    </w:p>
    <w:p w14:paraId="054EBD78" w14:textId="77777777" w:rsidR="00DE765C" w:rsidRPr="00407E08" w:rsidRDefault="00DE765C" w:rsidP="00B52FBA">
      <w:pPr>
        <w:tabs>
          <w:tab w:val="left" w:pos="0"/>
        </w:tabs>
        <w:jc w:val="both"/>
        <w:rPr>
          <w:rFonts w:ascii="Palatino Linotype" w:eastAsia="Arial" w:hAnsi="Palatino Linotype" w:cs="Arial"/>
          <w:sz w:val="28"/>
          <w:szCs w:val="28"/>
        </w:rPr>
      </w:pPr>
      <w:r w:rsidRPr="00407E08">
        <w:rPr>
          <w:rFonts w:ascii="Palatino Linotype" w:eastAsia="Arial" w:hAnsi="Palatino Linotype" w:cs="Arial"/>
          <w:b/>
          <w:sz w:val="28"/>
          <w:szCs w:val="28"/>
        </w:rPr>
        <w:t>Artículo 18</w:t>
      </w:r>
      <w:r w:rsidRPr="00407E08">
        <w:rPr>
          <w:rFonts w:ascii="Palatino Linotype" w:eastAsia="Arial" w:hAnsi="Palatino Linotype" w:cs="Arial"/>
          <w:sz w:val="28"/>
          <w:szCs w:val="28"/>
        </w:rPr>
        <w:t>. En los casos de multas o sanciones aplicadas por el Instituto Nacional Electoral, impuestas por el incumplimiento de las Comisiones Operativas Estatales a las normas electorales, el monto de las mismas será descontado de su ministración correspondiente al financiamiento público ordinario federal.</w:t>
      </w:r>
    </w:p>
    <w:p w14:paraId="38C74F87" w14:textId="77777777" w:rsidR="00DE765C" w:rsidRPr="00407E08" w:rsidRDefault="00DE765C" w:rsidP="00B52FBA">
      <w:pPr>
        <w:tabs>
          <w:tab w:val="left" w:pos="0"/>
        </w:tabs>
        <w:jc w:val="both"/>
        <w:rPr>
          <w:rFonts w:ascii="Palatino Linotype" w:eastAsia="Arial" w:hAnsi="Palatino Linotype" w:cs="Arial"/>
          <w:b/>
          <w:sz w:val="28"/>
          <w:szCs w:val="28"/>
        </w:rPr>
      </w:pPr>
    </w:p>
    <w:p w14:paraId="5142CAF4" w14:textId="77777777" w:rsidR="00DE765C" w:rsidRPr="00407E08" w:rsidRDefault="00DE765C" w:rsidP="00B52FBA">
      <w:pPr>
        <w:tabs>
          <w:tab w:val="left" w:pos="0"/>
        </w:tabs>
        <w:jc w:val="both"/>
        <w:rPr>
          <w:rFonts w:ascii="Palatino Linotype" w:eastAsia="Arial" w:hAnsi="Palatino Linotype" w:cs="Arial"/>
          <w:sz w:val="28"/>
          <w:szCs w:val="28"/>
        </w:rPr>
      </w:pPr>
      <w:r w:rsidRPr="00407E08">
        <w:rPr>
          <w:rFonts w:ascii="Palatino Linotype" w:eastAsia="Arial" w:hAnsi="Palatino Linotype" w:cs="Arial"/>
          <w:b/>
          <w:sz w:val="28"/>
          <w:szCs w:val="28"/>
        </w:rPr>
        <w:t>Artículo 19</w:t>
      </w:r>
      <w:r w:rsidRPr="00407E08">
        <w:rPr>
          <w:rFonts w:ascii="Palatino Linotype" w:eastAsia="Arial" w:hAnsi="Palatino Linotype" w:cs="Arial"/>
          <w:sz w:val="28"/>
          <w:szCs w:val="28"/>
        </w:rPr>
        <w:t xml:space="preserve">. Las Comisiones Operativas Estatales deberán destinar por lo menos el 10% de sus ingresos mensuales totales para la promoción de la imagen institucional con la directriz de la Comisión Operativa Nacional. </w:t>
      </w:r>
    </w:p>
    <w:p w14:paraId="0A70D57A" w14:textId="77777777" w:rsidR="00DE765C" w:rsidRPr="00407E08" w:rsidRDefault="00DE765C" w:rsidP="00B52FBA">
      <w:pPr>
        <w:tabs>
          <w:tab w:val="left" w:pos="0"/>
        </w:tabs>
        <w:jc w:val="both"/>
        <w:rPr>
          <w:rFonts w:ascii="Palatino Linotype" w:eastAsia="Arial" w:hAnsi="Palatino Linotype" w:cs="Arial"/>
          <w:sz w:val="28"/>
          <w:szCs w:val="28"/>
        </w:rPr>
      </w:pPr>
    </w:p>
    <w:p w14:paraId="25BA4CD7" w14:textId="77777777" w:rsidR="00DE765C" w:rsidRPr="00407E08" w:rsidRDefault="00DE765C" w:rsidP="00B52FBA">
      <w:pPr>
        <w:tabs>
          <w:tab w:val="left" w:pos="0"/>
        </w:tabs>
        <w:jc w:val="both"/>
        <w:rPr>
          <w:rFonts w:ascii="Palatino Linotype" w:eastAsia="Arial" w:hAnsi="Palatino Linotype" w:cs="Arial"/>
          <w:sz w:val="28"/>
          <w:szCs w:val="28"/>
        </w:rPr>
      </w:pPr>
      <w:r w:rsidRPr="00407E08">
        <w:rPr>
          <w:rFonts w:ascii="Palatino Linotype" w:eastAsia="Arial" w:hAnsi="Palatino Linotype" w:cs="Arial"/>
          <w:b/>
          <w:sz w:val="28"/>
          <w:szCs w:val="28"/>
        </w:rPr>
        <w:t>Artículo 20</w:t>
      </w:r>
      <w:r w:rsidRPr="00407E08">
        <w:rPr>
          <w:rFonts w:ascii="Palatino Linotype" w:eastAsia="Arial" w:hAnsi="Palatino Linotype" w:cs="Arial"/>
          <w:sz w:val="28"/>
          <w:szCs w:val="28"/>
        </w:rPr>
        <w:t>. Las Comisiones Operativas Estatales deberán realizar sus operaciones bancarias en el o los Institutos Bancarios aprobados por la Comisión Operativa Nacional.</w:t>
      </w:r>
    </w:p>
    <w:p w14:paraId="77228B53" w14:textId="77777777" w:rsidR="00465357" w:rsidRPr="00407E08" w:rsidRDefault="00465357" w:rsidP="00B52FBA">
      <w:pPr>
        <w:jc w:val="both"/>
        <w:rPr>
          <w:rFonts w:ascii="Palatino Linotype" w:eastAsia="Arial" w:hAnsi="Palatino Linotype" w:cs="Arial"/>
          <w:sz w:val="28"/>
          <w:szCs w:val="28"/>
        </w:rPr>
      </w:pPr>
    </w:p>
    <w:p w14:paraId="0347EA57" w14:textId="77777777" w:rsidR="00B967AC" w:rsidRPr="00407E08" w:rsidRDefault="00B967AC" w:rsidP="00B52FBA">
      <w:pPr>
        <w:jc w:val="both"/>
        <w:rPr>
          <w:rFonts w:ascii="Palatino Linotype" w:eastAsia="Arial" w:hAnsi="Palatino Linotype" w:cs="Arial"/>
          <w:sz w:val="28"/>
          <w:szCs w:val="28"/>
        </w:rPr>
      </w:pPr>
    </w:p>
    <w:p w14:paraId="78F5B064" w14:textId="77777777" w:rsidR="00DE765C" w:rsidRPr="00407E08" w:rsidRDefault="00DE765C" w:rsidP="00B52FBA">
      <w:pPr>
        <w:tabs>
          <w:tab w:val="left" w:pos="0"/>
        </w:tabs>
        <w:jc w:val="center"/>
        <w:rPr>
          <w:rFonts w:ascii="Palatino Linotype" w:eastAsia="Arial" w:hAnsi="Palatino Linotype" w:cs="Arial"/>
          <w:sz w:val="28"/>
          <w:szCs w:val="28"/>
        </w:rPr>
      </w:pPr>
      <w:r w:rsidRPr="00407E08">
        <w:rPr>
          <w:rFonts w:ascii="Palatino Linotype" w:eastAsia="Arial" w:hAnsi="Palatino Linotype" w:cs="Arial"/>
          <w:b/>
          <w:sz w:val="28"/>
          <w:szCs w:val="28"/>
        </w:rPr>
        <w:t xml:space="preserve">CAPÍTULO </w:t>
      </w:r>
      <w:r w:rsidRPr="00407E08">
        <w:rPr>
          <w:rFonts w:ascii="Palatino Linotype" w:eastAsia="Arial" w:hAnsi="Palatino Linotype" w:cs="Arial"/>
          <w:b/>
          <w:w w:val="99"/>
          <w:sz w:val="28"/>
          <w:szCs w:val="28"/>
        </w:rPr>
        <w:t>VI</w:t>
      </w:r>
    </w:p>
    <w:p w14:paraId="047CF3A8" w14:textId="77777777" w:rsidR="00DE765C" w:rsidRPr="00407E08" w:rsidRDefault="00DE765C" w:rsidP="00B52FBA">
      <w:pPr>
        <w:tabs>
          <w:tab w:val="left" w:pos="0"/>
        </w:tabs>
        <w:jc w:val="center"/>
        <w:rPr>
          <w:rFonts w:ascii="Palatino Linotype" w:eastAsia="Arial" w:hAnsi="Palatino Linotype" w:cs="Arial"/>
          <w:b/>
          <w:position w:val="-1"/>
          <w:sz w:val="28"/>
          <w:szCs w:val="28"/>
        </w:rPr>
      </w:pPr>
      <w:r w:rsidRPr="00407E08">
        <w:rPr>
          <w:rFonts w:ascii="Palatino Linotype" w:eastAsia="Arial" w:hAnsi="Palatino Linotype" w:cs="Arial"/>
          <w:b/>
          <w:position w:val="-1"/>
          <w:sz w:val="28"/>
          <w:szCs w:val="28"/>
        </w:rPr>
        <w:t>DE LA COMPROBACIÓN DE RECURSOS</w:t>
      </w:r>
    </w:p>
    <w:p w14:paraId="489C19DF" w14:textId="77777777" w:rsidR="00DE765C" w:rsidRPr="00407E08" w:rsidRDefault="00DE765C" w:rsidP="00B52FBA">
      <w:pPr>
        <w:jc w:val="both"/>
        <w:rPr>
          <w:rFonts w:ascii="Palatino Linotype" w:eastAsia="Arial" w:hAnsi="Palatino Linotype" w:cs="Arial"/>
          <w:sz w:val="28"/>
          <w:szCs w:val="28"/>
        </w:rPr>
      </w:pPr>
    </w:p>
    <w:p w14:paraId="27994F70" w14:textId="77777777" w:rsidR="00DE765C" w:rsidRPr="00407E08" w:rsidRDefault="00DE765C" w:rsidP="00B52FBA">
      <w:pPr>
        <w:jc w:val="both"/>
        <w:rPr>
          <w:rFonts w:ascii="Palatino Linotype" w:eastAsia="Arial" w:hAnsi="Palatino Linotype" w:cs="Arial"/>
          <w:sz w:val="28"/>
          <w:szCs w:val="28"/>
        </w:rPr>
      </w:pPr>
      <w:r w:rsidRPr="00407E08">
        <w:rPr>
          <w:rFonts w:ascii="Palatino Linotype" w:eastAsia="Arial" w:hAnsi="Palatino Linotype" w:cs="Arial"/>
          <w:b/>
          <w:sz w:val="28"/>
          <w:szCs w:val="28"/>
        </w:rPr>
        <w:t>Artículo 21</w:t>
      </w:r>
      <w:r w:rsidRPr="00407E08">
        <w:rPr>
          <w:rFonts w:ascii="Palatino Linotype" w:eastAsia="Arial" w:hAnsi="Palatino Linotype" w:cs="Arial"/>
          <w:sz w:val="28"/>
          <w:szCs w:val="28"/>
        </w:rPr>
        <w:t>. Para la comprobación de los recursos federales y locales deberán sujetarse a lo siguiente:</w:t>
      </w:r>
    </w:p>
    <w:p w14:paraId="3F8943D8" w14:textId="77777777" w:rsidR="00DE765C" w:rsidRPr="00407E08" w:rsidRDefault="00DE765C" w:rsidP="00B52FBA">
      <w:pPr>
        <w:jc w:val="both"/>
        <w:rPr>
          <w:rFonts w:ascii="Palatino Linotype" w:eastAsia="Arial" w:hAnsi="Palatino Linotype" w:cs="Arial"/>
          <w:sz w:val="28"/>
          <w:szCs w:val="28"/>
        </w:rPr>
      </w:pPr>
    </w:p>
    <w:p w14:paraId="0FFC8C3D" w14:textId="77777777" w:rsidR="00DE765C" w:rsidRPr="00407E08" w:rsidRDefault="00DE765C" w:rsidP="00B52FBA">
      <w:pPr>
        <w:pStyle w:val="Prrafodelista"/>
        <w:numPr>
          <w:ilvl w:val="0"/>
          <w:numId w:val="5"/>
        </w:numPr>
        <w:jc w:val="both"/>
        <w:rPr>
          <w:rFonts w:ascii="Palatino Linotype" w:eastAsia="Arial" w:hAnsi="Palatino Linotype" w:cs="Arial"/>
          <w:sz w:val="28"/>
          <w:szCs w:val="28"/>
          <w:lang w:val="es-MX"/>
        </w:rPr>
      </w:pPr>
      <w:r w:rsidRPr="00407E08">
        <w:rPr>
          <w:rFonts w:ascii="Palatino Linotype" w:eastAsia="Arial" w:hAnsi="Palatino Linotype" w:cs="Arial"/>
          <w:sz w:val="28"/>
          <w:szCs w:val="28"/>
          <w:lang w:val="es-MX"/>
        </w:rPr>
        <w:t>Las Comisiones Operativas Estatales; los funcionarios y empleados de la Comisión Operativa Nacional, deberán enviar diariamente a la Tesorería Nacional los comprobantes del manejo de los recursos federales recibidos directamente, en ningún caso los documentos deberán exceder de 3 días desde el momento de su generación.</w:t>
      </w:r>
    </w:p>
    <w:p w14:paraId="669CC0AC" w14:textId="77777777" w:rsidR="00DE765C" w:rsidRPr="00407E08" w:rsidRDefault="00DE765C" w:rsidP="00B52FBA">
      <w:pPr>
        <w:pStyle w:val="Prrafodelista"/>
        <w:numPr>
          <w:ilvl w:val="0"/>
          <w:numId w:val="5"/>
        </w:numPr>
        <w:jc w:val="both"/>
        <w:rPr>
          <w:rFonts w:ascii="Palatino Linotype" w:eastAsia="Arial" w:hAnsi="Palatino Linotype" w:cs="Arial"/>
          <w:sz w:val="28"/>
          <w:szCs w:val="28"/>
          <w:lang w:val="es-MX"/>
        </w:rPr>
      </w:pPr>
      <w:r w:rsidRPr="00407E08">
        <w:rPr>
          <w:rFonts w:ascii="Palatino Linotype" w:eastAsia="Arial" w:hAnsi="Palatino Linotype" w:cs="Arial"/>
          <w:sz w:val="28"/>
          <w:szCs w:val="28"/>
          <w:lang w:val="es-MX"/>
        </w:rPr>
        <w:t>Los funcionarios y empleados de las Comisiones Operativas Estatales deberán enviar diariamente a la Tesorería Estatal correspondiente, los comprobantes del manejo de los recursos locales recibidos directamente, en ningún caso los documentos deberán exceder de 3 días desde el momento de su generación.</w:t>
      </w:r>
    </w:p>
    <w:p w14:paraId="26986F63" w14:textId="77777777" w:rsidR="00DE765C" w:rsidRPr="00407E08" w:rsidRDefault="00DE765C" w:rsidP="00B52FBA">
      <w:pPr>
        <w:jc w:val="both"/>
        <w:rPr>
          <w:rFonts w:ascii="Palatino Linotype" w:eastAsia="Arial" w:hAnsi="Palatino Linotype" w:cs="Arial"/>
          <w:sz w:val="28"/>
          <w:szCs w:val="28"/>
        </w:rPr>
      </w:pPr>
    </w:p>
    <w:p w14:paraId="40F5E7D4" w14:textId="77777777" w:rsidR="00DE765C" w:rsidRPr="00407E08" w:rsidRDefault="00DE765C" w:rsidP="00B52FBA">
      <w:pPr>
        <w:jc w:val="both"/>
        <w:rPr>
          <w:rFonts w:ascii="Palatino Linotype" w:eastAsia="Arial" w:hAnsi="Palatino Linotype" w:cs="Arial"/>
          <w:sz w:val="28"/>
          <w:szCs w:val="28"/>
        </w:rPr>
      </w:pPr>
      <w:r w:rsidRPr="00407E08">
        <w:rPr>
          <w:rFonts w:ascii="Palatino Linotype" w:eastAsia="Arial" w:hAnsi="Palatino Linotype" w:cs="Arial"/>
          <w:b/>
          <w:sz w:val="28"/>
          <w:szCs w:val="28"/>
        </w:rPr>
        <w:t>Artículo 22</w:t>
      </w:r>
      <w:r w:rsidRPr="00407E08">
        <w:rPr>
          <w:rFonts w:ascii="Palatino Linotype" w:eastAsia="Arial" w:hAnsi="Palatino Linotype" w:cs="Arial"/>
          <w:sz w:val="28"/>
          <w:szCs w:val="28"/>
        </w:rPr>
        <w:t xml:space="preserve">. Los </w:t>
      </w:r>
      <w:r w:rsidR="00AD060A" w:rsidRPr="00407E08">
        <w:rPr>
          <w:rFonts w:ascii="Palatino Linotype" w:eastAsia="Arial" w:hAnsi="Palatino Linotype" w:cs="Arial"/>
          <w:b/>
          <w:sz w:val="28"/>
          <w:szCs w:val="28"/>
        </w:rPr>
        <w:t>c</w:t>
      </w:r>
      <w:r w:rsidRPr="00407E08">
        <w:rPr>
          <w:rFonts w:ascii="Palatino Linotype" w:eastAsia="Arial" w:hAnsi="Palatino Linotype" w:cs="Arial"/>
          <w:sz w:val="28"/>
          <w:szCs w:val="28"/>
        </w:rPr>
        <w:t>omprobantes deberán ser enviados a la dirección de correo electrónico designada para tales efectos por la Tesorería Nacional de la siguiente manera:</w:t>
      </w:r>
    </w:p>
    <w:p w14:paraId="34CB9911" w14:textId="77777777" w:rsidR="00B26116" w:rsidRPr="00407E08" w:rsidRDefault="00B26116" w:rsidP="00B52FBA">
      <w:pPr>
        <w:jc w:val="both"/>
        <w:rPr>
          <w:rFonts w:ascii="Palatino Linotype" w:eastAsia="Arial" w:hAnsi="Palatino Linotype" w:cs="Arial"/>
          <w:sz w:val="28"/>
          <w:szCs w:val="28"/>
        </w:rPr>
      </w:pPr>
    </w:p>
    <w:p w14:paraId="01BBEDFB" w14:textId="77777777" w:rsidR="00DE765C" w:rsidRPr="00407E08" w:rsidRDefault="00DE765C" w:rsidP="00B52FBA">
      <w:pPr>
        <w:pStyle w:val="Prrafodelista"/>
        <w:numPr>
          <w:ilvl w:val="0"/>
          <w:numId w:val="6"/>
        </w:numPr>
        <w:ind w:left="993" w:hanging="426"/>
        <w:jc w:val="both"/>
        <w:rPr>
          <w:rFonts w:ascii="Palatino Linotype" w:eastAsia="Arial" w:hAnsi="Palatino Linotype" w:cs="Arial"/>
          <w:sz w:val="28"/>
          <w:szCs w:val="28"/>
          <w:lang w:val="es-MX"/>
        </w:rPr>
      </w:pPr>
      <w:r w:rsidRPr="00407E08">
        <w:rPr>
          <w:rFonts w:ascii="Palatino Linotype" w:eastAsia="Arial" w:hAnsi="Palatino Linotype" w:cs="Arial"/>
          <w:sz w:val="28"/>
          <w:szCs w:val="28"/>
          <w:lang w:val="es-MX"/>
        </w:rPr>
        <w:t>CFD (Facturas): En los archivos PDF y XML generados por el proveedor, identificados por número de comprobante.</w:t>
      </w:r>
    </w:p>
    <w:p w14:paraId="21A570A1" w14:textId="77777777" w:rsidR="00DE765C" w:rsidRPr="00407E08" w:rsidRDefault="00DE765C" w:rsidP="00B52FBA">
      <w:pPr>
        <w:pStyle w:val="Prrafodelista"/>
        <w:numPr>
          <w:ilvl w:val="0"/>
          <w:numId w:val="6"/>
        </w:numPr>
        <w:ind w:left="993" w:hanging="426"/>
        <w:jc w:val="both"/>
        <w:rPr>
          <w:rFonts w:ascii="Palatino Linotype" w:eastAsia="Arial" w:hAnsi="Palatino Linotype" w:cs="Arial"/>
          <w:sz w:val="28"/>
          <w:szCs w:val="28"/>
          <w:lang w:val="es-MX"/>
        </w:rPr>
      </w:pPr>
      <w:r w:rsidRPr="00407E08">
        <w:rPr>
          <w:rFonts w:ascii="Palatino Linotype" w:eastAsia="Arial" w:hAnsi="Palatino Linotype" w:cs="Arial"/>
          <w:sz w:val="28"/>
          <w:szCs w:val="28"/>
          <w:lang w:val="es-MX"/>
        </w:rPr>
        <w:t>Copias de Cheques: En archivos JPG o PDF, identificados por número de cheque.</w:t>
      </w:r>
    </w:p>
    <w:p w14:paraId="62DE9E0A" w14:textId="77777777" w:rsidR="00DE765C" w:rsidRPr="00407E08" w:rsidRDefault="00DE765C" w:rsidP="00B52FBA">
      <w:pPr>
        <w:pStyle w:val="Prrafodelista"/>
        <w:numPr>
          <w:ilvl w:val="0"/>
          <w:numId w:val="6"/>
        </w:numPr>
        <w:ind w:left="993" w:hanging="426"/>
        <w:jc w:val="both"/>
        <w:rPr>
          <w:rFonts w:ascii="Palatino Linotype" w:eastAsia="Arial" w:hAnsi="Palatino Linotype" w:cs="Arial"/>
          <w:sz w:val="28"/>
          <w:szCs w:val="28"/>
          <w:lang w:val="es-MX"/>
        </w:rPr>
      </w:pPr>
      <w:r w:rsidRPr="00407E08">
        <w:rPr>
          <w:rFonts w:ascii="Palatino Linotype" w:eastAsia="Arial" w:hAnsi="Palatino Linotype" w:cs="Arial"/>
          <w:sz w:val="28"/>
          <w:szCs w:val="28"/>
          <w:lang w:val="es-MX"/>
        </w:rPr>
        <w:t>Pólizas de Cheques: En archivos JPG o PDF, identificados por número de cheque.</w:t>
      </w:r>
    </w:p>
    <w:p w14:paraId="1161D667" w14:textId="77777777" w:rsidR="00DE765C" w:rsidRPr="00407E08" w:rsidRDefault="00DE765C" w:rsidP="00B52FBA">
      <w:pPr>
        <w:pStyle w:val="Prrafodelista"/>
        <w:numPr>
          <w:ilvl w:val="0"/>
          <w:numId w:val="6"/>
        </w:numPr>
        <w:ind w:left="993" w:hanging="426"/>
        <w:jc w:val="both"/>
        <w:rPr>
          <w:rFonts w:ascii="Palatino Linotype" w:eastAsia="Arial" w:hAnsi="Palatino Linotype" w:cs="Arial"/>
          <w:sz w:val="28"/>
          <w:szCs w:val="28"/>
          <w:lang w:val="es-MX"/>
        </w:rPr>
      </w:pPr>
      <w:r w:rsidRPr="00407E08">
        <w:rPr>
          <w:rFonts w:ascii="Palatino Linotype" w:eastAsia="Arial" w:hAnsi="Palatino Linotype" w:cs="Arial"/>
          <w:sz w:val="28"/>
          <w:szCs w:val="28"/>
          <w:lang w:val="es-MX"/>
        </w:rPr>
        <w:t>Comprobantes de Transferencias: En archivos JPG o PDF, identificados por folio.</w:t>
      </w:r>
    </w:p>
    <w:p w14:paraId="716AEF0D" w14:textId="77777777" w:rsidR="00DE765C" w:rsidRPr="00407E08" w:rsidRDefault="00DE765C" w:rsidP="00B52FBA">
      <w:pPr>
        <w:pStyle w:val="Prrafodelista"/>
        <w:numPr>
          <w:ilvl w:val="0"/>
          <w:numId w:val="6"/>
        </w:numPr>
        <w:ind w:left="993" w:hanging="426"/>
        <w:jc w:val="both"/>
        <w:rPr>
          <w:rFonts w:ascii="Palatino Linotype" w:eastAsia="Arial" w:hAnsi="Palatino Linotype" w:cs="Arial"/>
          <w:sz w:val="28"/>
          <w:szCs w:val="28"/>
          <w:lang w:val="es-MX"/>
        </w:rPr>
      </w:pPr>
      <w:r w:rsidRPr="00407E08">
        <w:rPr>
          <w:rFonts w:ascii="Palatino Linotype" w:eastAsia="Arial" w:hAnsi="Palatino Linotype" w:cs="Arial"/>
          <w:sz w:val="28"/>
          <w:szCs w:val="28"/>
          <w:lang w:val="es-MX"/>
        </w:rPr>
        <w:t>Muestras: En archivos JPG o PDF, identificadas por la CFD a la que corresponden.</w:t>
      </w:r>
    </w:p>
    <w:p w14:paraId="2E61CA6C" w14:textId="77777777" w:rsidR="00DE765C" w:rsidRPr="00407E08" w:rsidRDefault="00DE765C" w:rsidP="00B52FBA">
      <w:pPr>
        <w:pStyle w:val="Prrafodelista"/>
        <w:numPr>
          <w:ilvl w:val="0"/>
          <w:numId w:val="6"/>
        </w:numPr>
        <w:ind w:left="993" w:hanging="426"/>
        <w:jc w:val="both"/>
        <w:rPr>
          <w:rFonts w:ascii="Palatino Linotype" w:eastAsia="Arial" w:hAnsi="Palatino Linotype" w:cs="Arial"/>
          <w:sz w:val="28"/>
          <w:szCs w:val="28"/>
          <w:lang w:val="es-MX"/>
        </w:rPr>
      </w:pPr>
      <w:r w:rsidRPr="00407E08">
        <w:rPr>
          <w:rFonts w:ascii="Palatino Linotype" w:eastAsia="Arial" w:hAnsi="Palatino Linotype" w:cs="Arial"/>
          <w:sz w:val="28"/>
          <w:szCs w:val="28"/>
          <w:lang w:val="es-MX"/>
        </w:rPr>
        <w:t xml:space="preserve">Contratos y Documentación del Proveedor.  </w:t>
      </w:r>
    </w:p>
    <w:p w14:paraId="789F5F15" w14:textId="77777777" w:rsidR="00DE765C" w:rsidRPr="00407E08" w:rsidRDefault="00DE765C" w:rsidP="00B52FBA">
      <w:pPr>
        <w:jc w:val="both"/>
        <w:rPr>
          <w:rFonts w:ascii="Palatino Linotype" w:eastAsia="Arial" w:hAnsi="Palatino Linotype" w:cs="Arial"/>
          <w:sz w:val="28"/>
          <w:szCs w:val="28"/>
        </w:rPr>
      </w:pPr>
    </w:p>
    <w:p w14:paraId="150F9E45" w14:textId="77777777" w:rsidR="00DE765C" w:rsidRPr="00407E08" w:rsidRDefault="00DE765C" w:rsidP="00B52FBA">
      <w:pPr>
        <w:jc w:val="both"/>
        <w:rPr>
          <w:rFonts w:ascii="Palatino Linotype" w:eastAsia="Arial" w:hAnsi="Palatino Linotype" w:cs="Arial"/>
          <w:sz w:val="28"/>
          <w:szCs w:val="28"/>
        </w:rPr>
      </w:pPr>
      <w:r w:rsidRPr="00407E08">
        <w:rPr>
          <w:rFonts w:ascii="Palatino Linotype" w:eastAsia="Arial" w:hAnsi="Palatino Linotype" w:cs="Arial"/>
          <w:sz w:val="28"/>
          <w:szCs w:val="28"/>
        </w:rPr>
        <w:t xml:space="preserve">La Tesorería Nacional informará a las Comisiones Operativas Estatales; funcionarios y empleados de la Comisión Operativa Nacional la </w:t>
      </w:r>
      <w:r w:rsidRPr="00407E08">
        <w:rPr>
          <w:rFonts w:ascii="Palatino Linotype" w:eastAsia="Arial" w:hAnsi="Palatino Linotype" w:cs="Arial"/>
          <w:sz w:val="28"/>
          <w:szCs w:val="28"/>
        </w:rPr>
        <w:lastRenderedPageBreak/>
        <w:t>dirección de correo electrónico a que se refiere el presente artículo y las directrices para la recepción de la documentación comprobatoria.</w:t>
      </w:r>
    </w:p>
    <w:p w14:paraId="13377770" w14:textId="77777777" w:rsidR="00DE765C" w:rsidRPr="00407E08" w:rsidRDefault="00DE765C" w:rsidP="00B52FBA">
      <w:pPr>
        <w:jc w:val="both"/>
        <w:rPr>
          <w:rFonts w:ascii="Palatino Linotype" w:eastAsia="Arial" w:hAnsi="Palatino Linotype" w:cs="Arial"/>
          <w:sz w:val="28"/>
          <w:szCs w:val="28"/>
        </w:rPr>
      </w:pPr>
    </w:p>
    <w:p w14:paraId="51EDCA45" w14:textId="77777777" w:rsidR="00DE765C" w:rsidRPr="00407E08" w:rsidRDefault="00DE765C" w:rsidP="00B52FBA">
      <w:pPr>
        <w:jc w:val="both"/>
        <w:rPr>
          <w:rFonts w:ascii="Palatino Linotype" w:eastAsia="Arial" w:hAnsi="Palatino Linotype" w:cs="Arial"/>
          <w:sz w:val="28"/>
          <w:szCs w:val="28"/>
        </w:rPr>
      </w:pPr>
      <w:r w:rsidRPr="00407E08">
        <w:rPr>
          <w:rFonts w:ascii="Palatino Linotype" w:eastAsia="Arial" w:hAnsi="Palatino Linotype" w:cs="Arial"/>
          <w:sz w:val="28"/>
          <w:szCs w:val="28"/>
        </w:rPr>
        <w:t>La comprobación de recursos deberá apegarse a lo establecido en la Ley General de Partidos Políticos, el Reglamento de Fiscalización y el Código Fiscal de la Federación.</w:t>
      </w:r>
    </w:p>
    <w:p w14:paraId="2A7596F4" w14:textId="77777777" w:rsidR="00DE765C" w:rsidRPr="00407E08" w:rsidRDefault="00DE765C" w:rsidP="00B52FBA">
      <w:pPr>
        <w:jc w:val="both"/>
        <w:rPr>
          <w:rFonts w:ascii="Palatino Linotype" w:eastAsia="Arial" w:hAnsi="Palatino Linotype" w:cs="Arial"/>
          <w:sz w:val="28"/>
          <w:szCs w:val="28"/>
        </w:rPr>
      </w:pPr>
    </w:p>
    <w:p w14:paraId="7C2CD8F7" w14:textId="77777777" w:rsidR="00DE765C" w:rsidRPr="00407E08" w:rsidRDefault="00DE765C" w:rsidP="00B52FBA">
      <w:pPr>
        <w:jc w:val="both"/>
        <w:rPr>
          <w:rFonts w:ascii="Palatino Linotype" w:eastAsia="Arial" w:hAnsi="Palatino Linotype" w:cs="Arial"/>
          <w:sz w:val="28"/>
          <w:szCs w:val="28"/>
        </w:rPr>
      </w:pPr>
      <w:r w:rsidRPr="00407E08">
        <w:rPr>
          <w:rFonts w:ascii="Palatino Linotype" w:eastAsia="Arial" w:hAnsi="Palatino Linotype" w:cs="Arial"/>
          <w:b/>
          <w:sz w:val="28"/>
          <w:szCs w:val="28"/>
        </w:rPr>
        <w:t>Artículo 23</w:t>
      </w:r>
      <w:r w:rsidRPr="00407E08">
        <w:rPr>
          <w:rFonts w:ascii="Palatino Linotype" w:eastAsia="Arial" w:hAnsi="Palatino Linotype" w:cs="Arial"/>
          <w:sz w:val="28"/>
          <w:szCs w:val="28"/>
        </w:rPr>
        <w:t>. Los documentos comprobatorios que no cumplan con requisitos fiscales o que no justifiquen plenamente el objeto para el que fueron entregados conforme a la normatividad electoral, serán devueltos a su remitente sin que puedan considerarse como comprobación de recursos.</w:t>
      </w:r>
    </w:p>
    <w:p w14:paraId="5F8C8320" w14:textId="77777777" w:rsidR="00465357" w:rsidRPr="00407E08" w:rsidRDefault="00465357" w:rsidP="00B52FBA">
      <w:pPr>
        <w:jc w:val="both"/>
        <w:rPr>
          <w:rFonts w:ascii="Palatino Linotype" w:eastAsia="Arial" w:hAnsi="Palatino Linotype" w:cs="Arial"/>
          <w:sz w:val="28"/>
          <w:szCs w:val="28"/>
        </w:rPr>
      </w:pPr>
    </w:p>
    <w:p w14:paraId="2C8F4528" w14:textId="77777777" w:rsidR="00DE765C" w:rsidRPr="00407E08" w:rsidRDefault="00DE765C" w:rsidP="00B52FBA">
      <w:pPr>
        <w:tabs>
          <w:tab w:val="left" w:pos="0"/>
        </w:tabs>
        <w:jc w:val="center"/>
        <w:rPr>
          <w:rFonts w:ascii="Palatino Linotype" w:eastAsia="Arial" w:hAnsi="Palatino Linotype" w:cs="Arial"/>
          <w:sz w:val="28"/>
          <w:szCs w:val="28"/>
        </w:rPr>
      </w:pPr>
      <w:r w:rsidRPr="00407E08">
        <w:rPr>
          <w:rFonts w:ascii="Palatino Linotype" w:eastAsia="Arial" w:hAnsi="Palatino Linotype" w:cs="Arial"/>
          <w:b/>
          <w:sz w:val="28"/>
          <w:szCs w:val="28"/>
        </w:rPr>
        <w:t xml:space="preserve">CAPÍTULO </w:t>
      </w:r>
      <w:r w:rsidRPr="00407E08">
        <w:rPr>
          <w:rFonts w:ascii="Palatino Linotype" w:eastAsia="Arial" w:hAnsi="Palatino Linotype" w:cs="Arial"/>
          <w:b/>
          <w:w w:val="99"/>
          <w:sz w:val="28"/>
          <w:szCs w:val="28"/>
        </w:rPr>
        <w:t>VII</w:t>
      </w:r>
    </w:p>
    <w:p w14:paraId="0F5CE3E7" w14:textId="77777777" w:rsidR="00DE765C" w:rsidRPr="00407E08" w:rsidRDefault="00DE765C" w:rsidP="00B52FBA">
      <w:pPr>
        <w:tabs>
          <w:tab w:val="left" w:pos="0"/>
        </w:tabs>
        <w:jc w:val="center"/>
        <w:rPr>
          <w:rFonts w:ascii="Palatino Linotype" w:eastAsia="Arial" w:hAnsi="Palatino Linotype" w:cs="Arial"/>
          <w:b/>
          <w:position w:val="-1"/>
          <w:sz w:val="28"/>
          <w:szCs w:val="28"/>
        </w:rPr>
      </w:pPr>
      <w:r w:rsidRPr="00407E08">
        <w:rPr>
          <w:rFonts w:ascii="Palatino Linotype" w:eastAsia="Arial" w:hAnsi="Palatino Linotype" w:cs="Arial"/>
          <w:b/>
          <w:position w:val="-1"/>
          <w:sz w:val="28"/>
          <w:szCs w:val="28"/>
        </w:rPr>
        <w:t>DEL ACTIVO FIJO</w:t>
      </w:r>
    </w:p>
    <w:p w14:paraId="799FDC9F" w14:textId="77777777" w:rsidR="00DE765C" w:rsidRPr="00407E08" w:rsidRDefault="00DE765C" w:rsidP="00B52FBA">
      <w:pPr>
        <w:jc w:val="both"/>
        <w:rPr>
          <w:rFonts w:ascii="Palatino Linotype" w:eastAsia="Arial" w:hAnsi="Palatino Linotype" w:cs="Arial"/>
          <w:sz w:val="28"/>
          <w:szCs w:val="28"/>
        </w:rPr>
      </w:pPr>
    </w:p>
    <w:p w14:paraId="04DFB973" w14:textId="77777777" w:rsidR="00DE765C" w:rsidRPr="00407E08" w:rsidRDefault="00DE765C" w:rsidP="00B52FBA">
      <w:pPr>
        <w:jc w:val="both"/>
        <w:rPr>
          <w:rFonts w:ascii="Palatino Linotype" w:eastAsia="Arial" w:hAnsi="Palatino Linotype" w:cs="Arial"/>
          <w:sz w:val="28"/>
          <w:szCs w:val="28"/>
        </w:rPr>
      </w:pPr>
      <w:r w:rsidRPr="00407E08">
        <w:rPr>
          <w:rFonts w:ascii="Palatino Linotype" w:eastAsia="Arial" w:hAnsi="Palatino Linotype" w:cs="Arial"/>
          <w:b/>
          <w:sz w:val="28"/>
          <w:szCs w:val="28"/>
        </w:rPr>
        <w:t>Artículo 24</w:t>
      </w:r>
      <w:r w:rsidRPr="00407E08">
        <w:rPr>
          <w:rFonts w:ascii="Palatino Linotype" w:eastAsia="Arial" w:hAnsi="Palatino Linotype" w:cs="Arial"/>
          <w:sz w:val="28"/>
          <w:szCs w:val="28"/>
        </w:rPr>
        <w:t xml:space="preserve">. Las Tesorerías Estatales deberán consultar previamente al área de Contabilidad de la Tesorería Nacional y con ello obtener autorización por escrito del Tesorero Nacional para realizar la compra o venta de activo fijo cuando el costo de éste sea igual o superior a ciento cincuenta </w:t>
      </w:r>
      <w:r w:rsidRPr="00407E08">
        <w:rPr>
          <w:rFonts w:ascii="Palatino Linotype" w:eastAsia="Arial" w:hAnsi="Palatino Linotype" w:cs="Arial"/>
          <w:b/>
          <w:sz w:val="28"/>
          <w:szCs w:val="28"/>
        </w:rPr>
        <w:t>Unidades de Medida y actualización (UMA´s).</w:t>
      </w:r>
    </w:p>
    <w:p w14:paraId="15DA23A8" w14:textId="77777777" w:rsidR="00DE765C" w:rsidRPr="00407E08" w:rsidRDefault="00DE765C" w:rsidP="00B52FBA">
      <w:pPr>
        <w:jc w:val="both"/>
        <w:rPr>
          <w:rFonts w:ascii="Palatino Linotype" w:eastAsia="Arial" w:hAnsi="Palatino Linotype" w:cs="Arial"/>
          <w:sz w:val="28"/>
          <w:szCs w:val="28"/>
        </w:rPr>
      </w:pPr>
    </w:p>
    <w:p w14:paraId="6C96A451" w14:textId="77777777" w:rsidR="00DE765C" w:rsidRPr="00407E08" w:rsidRDefault="00DE765C" w:rsidP="00B52FBA">
      <w:pPr>
        <w:jc w:val="both"/>
        <w:rPr>
          <w:rFonts w:ascii="Palatino Linotype" w:eastAsia="Arial" w:hAnsi="Palatino Linotype" w:cs="Arial"/>
          <w:sz w:val="28"/>
          <w:szCs w:val="28"/>
        </w:rPr>
      </w:pPr>
      <w:r w:rsidRPr="00407E08">
        <w:rPr>
          <w:rFonts w:ascii="Palatino Linotype" w:eastAsia="Arial" w:hAnsi="Palatino Linotype" w:cs="Arial"/>
          <w:b/>
          <w:sz w:val="28"/>
          <w:szCs w:val="28"/>
        </w:rPr>
        <w:t>Artículo 25</w:t>
      </w:r>
      <w:r w:rsidRPr="00407E08">
        <w:rPr>
          <w:rFonts w:ascii="Palatino Linotype" w:eastAsia="Arial" w:hAnsi="Palatino Linotype" w:cs="Arial"/>
          <w:sz w:val="28"/>
          <w:szCs w:val="28"/>
        </w:rPr>
        <w:t>. La Tesorería Nacional y las Tesorerías Estatales deberán registrar contablemente sus activos fijos federales y locales acreditándolos con comprobantes fiscales digitales de conformidad con la normatividad, así mismo, deberán realizar un inventario físico de todos los bienes muebles e inmuebles ya sean adquiridos o en comodato, por lo menos dos veces al año, el primero de ellos a más tardar en el mes de septiembre y el segundo en los meses de noviembre o diciembre del año que corresponda.</w:t>
      </w:r>
    </w:p>
    <w:p w14:paraId="6A2AB1C8" w14:textId="77777777" w:rsidR="00DE765C" w:rsidRPr="00407E08" w:rsidRDefault="00DE765C" w:rsidP="00B52FBA">
      <w:pPr>
        <w:jc w:val="both"/>
        <w:rPr>
          <w:rFonts w:ascii="Palatino Linotype" w:eastAsia="Arial" w:hAnsi="Palatino Linotype" w:cs="Arial"/>
          <w:sz w:val="28"/>
          <w:szCs w:val="28"/>
        </w:rPr>
      </w:pPr>
    </w:p>
    <w:p w14:paraId="02F33754" w14:textId="77777777" w:rsidR="00DE765C" w:rsidRPr="00407E08" w:rsidRDefault="00DE765C" w:rsidP="00B52FBA">
      <w:pPr>
        <w:jc w:val="both"/>
        <w:rPr>
          <w:rFonts w:ascii="Palatino Linotype" w:eastAsia="Arial" w:hAnsi="Palatino Linotype" w:cs="Arial"/>
          <w:sz w:val="28"/>
          <w:szCs w:val="28"/>
        </w:rPr>
      </w:pPr>
      <w:r w:rsidRPr="00407E08">
        <w:rPr>
          <w:rFonts w:ascii="Palatino Linotype" w:eastAsia="Arial" w:hAnsi="Palatino Linotype" w:cs="Arial"/>
          <w:sz w:val="28"/>
          <w:szCs w:val="28"/>
        </w:rPr>
        <w:t xml:space="preserve">Para el control de inventarios deberán asignar a los bienes códigos alfanuméricos homogéneos de identificación que permitan establecer con exactitud la ubicación de cada uno de estos, contando para ello con un documento de resguardo que deberá contener por lo menos los datos </w:t>
      </w:r>
      <w:r w:rsidRPr="00407E08">
        <w:rPr>
          <w:rFonts w:ascii="Palatino Linotype" w:eastAsia="Arial" w:hAnsi="Palatino Linotype" w:cs="Arial"/>
          <w:sz w:val="28"/>
          <w:szCs w:val="28"/>
        </w:rPr>
        <w:lastRenderedPageBreak/>
        <w:t>básicos del bien y la firma de la persona que lo tenga en uso, en calidad de responsable.</w:t>
      </w:r>
    </w:p>
    <w:p w14:paraId="479E33AF" w14:textId="77777777" w:rsidR="00DE765C" w:rsidRPr="00407E08" w:rsidRDefault="00DE765C" w:rsidP="00B52FBA">
      <w:pPr>
        <w:jc w:val="both"/>
        <w:rPr>
          <w:rFonts w:ascii="Palatino Linotype" w:eastAsia="Arial" w:hAnsi="Palatino Linotype" w:cs="Arial"/>
          <w:b/>
          <w:sz w:val="28"/>
          <w:szCs w:val="28"/>
        </w:rPr>
      </w:pPr>
    </w:p>
    <w:p w14:paraId="1B3193D3" w14:textId="77777777" w:rsidR="00DE765C" w:rsidRPr="00407E08" w:rsidRDefault="00DE765C" w:rsidP="00B52FBA">
      <w:pPr>
        <w:jc w:val="both"/>
        <w:rPr>
          <w:rFonts w:ascii="Palatino Linotype" w:eastAsia="Arial" w:hAnsi="Palatino Linotype" w:cs="Arial"/>
          <w:sz w:val="28"/>
          <w:szCs w:val="28"/>
        </w:rPr>
      </w:pPr>
      <w:r w:rsidRPr="00407E08">
        <w:rPr>
          <w:rFonts w:ascii="Palatino Linotype" w:eastAsia="Arial" w:hAnsi="Palatino Linotype" w:cs="Arial"/>
          <w:sz w:val="28"/>
          <w:szCs w:val="28"/>
        </w:rPr>
        <w:t>Una vez realizado el inventario físico deberá ser enviado a la Tesorería Nacional con los nombres y firmas de quienes lo elaboraron y revisaron para su correspondiente autorización.</w:t>
      </w:r>
    </w:p>
    <w:p w14:paraId="5800C890" w14:textId="77777777" w:rsidR="00DE765C" w:rsidRPr="00407E08" w:rsidRDefault="00DE765C" w:rsidP="00B52FBA">
      <w:pPr>
        <w:jc w:val="both"/>
        <w:rPr>
          <w:rFonts w:ascii="Palatino Linotype" w:eastAsia="Arial" w:hAnsi="Palatino Linotype" w:cs="Arial"/>
          <w:sz w:val="28"/>
          <w:szCs w:val="28"/>
        </w:rPr>
      </w:pPr>
    </w:p>
    <w:p w14:paraId="311B1E05" w14:textId="77777777" w:rsidR="00DE765C" w:rsidRPr="00407E08" w:rsidRDefault="00DE765C" w:rsidP="00B52FBA">
      <w:pPr>
        <w:jc w:val="both"/>
        <w:rPr>
          <w:rFonts w:ascii="Palatino Linotype" w:eastAsia="Arial" w:hAnsi="Palatino Linotype" w:cs="Arial"/>
          <w:sz w:val="28"/>
          <w:szCs w:val="28"/>
        </w:rPr>
      </w:pPr>
      <w:r w:rsidRPr="00407E08">
        <w:rPr>
          <w:rFonts w:ascii="Palatino Linotype" w:eastAsia="Arial" w:hAnsi="Palatino Linotype" w:cs="Arial"/>
          <w:sz w:val="28"/>
          <w:szCs w:val="28"/>
        </w:rPr>
        <w:t xml:space="preserve">De los bienes adquiridos con recurso local la Tesorería Estatal correspondiente deberá enviar una cédula de depreciación mensual a la Tesorería Nacional. Las depreciaciones y amortizaciones plasmadas en esa cédula se deberán reconocer contablemente en apego a lo establecido en el artículo 73 del Reglamento de Fiscalización. </w:t>
      </w:r>
    </w:p>
    <w:p w14:paraId="785B7A42" w14:textId="77777777" w:rsidR="00DE765C" w:rsidRPr="00407E08" w:rsidRDefault="00DE765C" w:rsidP="00B52FBA">
      <w:pPr>
        <w:jc w:val="both"/>
        <w:rPr>
          <w:rFonts w:ascii="Palatino Linotype" w:eastAsia="Arial" w:hAnsi="Palatino Linotype" w:cs="Arial"/>
          <w:b/>
          <w:sz w:val="28"/>
          <w:szCs w:val="28"/>
        </w:rPr>
      </w:pPr>
    </w:p>
    <w:p w14:paraId="686E2B03" w14:textId="77777777" w:rsidR="00DE765C" w:rsidRPr="00407E08" w:rsidRDefault="00DE765C" w:rsidP="00B52FBA">
      <w:pPr>
        <w:jc w:val="both"/>
        <w:rPr>
          <w:rFonts w:ascii="Palatino Linotype" w:eastAsia="Arial" w:hAnsi="Palatino Linotype" w:cs="Arial"/>
          <w:sz w:val="28"/>
          <w:szCs w:val="28"/>
        </w:rPr>
      </w:pPr>
      <w:r w:rsidRPr="00407E08">
        <w:rPr>
          <w:rFonts w:ascii="Palatino Linotype" w:eastAsia="Arial" w:hAnsi="Palatino Linotype" w:cs="Arial"/>
          <w:b/>
          <w:sz w:val="28"/>
          <w:szCs w:val="28"/>
        </w:rPr>
        <w:t>Artículo 26</w:t>
      </w:r>
      <w:r w:rsidRPr="00407E08">
        <w:rPr>
          <w:rFonts w:ascii="Palatino Linotype" w:eastAsia="Arial" w:hAnsi="Palatino Linotype" w:cs="Arial"/>
          <w:sz w:val="28"/>
          <w:szCs w:val="28"/>
        </w:rPr>
        <w:t>. Las Tesorerías Estatales deberán consultar previamente al área de Contabilidad de la Tesorería Nacional y con ello obtener autorización por escrito del Tesorero Nacional para dar de baja activos fijos federales y locales, ya sea por depreciación total, obsolescencia, siniestro o robo; dentro del término de tres días contados a partir del momento en que ocurra el hecho, conforme a lo establecido en el Reglamento de Fiscalización. Una vez realizada la baja del activo fijo las Tesorerías Estatales deberán informar a la Tesorería Nacional dicha baja presentando el documento oficial expedido por la autoridad electoral.</w:t>
      </w:r>
    </w:p>
    <w:p w14:paraId="657507CD" w14:textId="77777777" w:rsidR="00DE765C" w:rsidRPr="00407E08" w:rsidRDefault="00DE765C" w:rsidP="00B52FBA">
      <w:pPr>
        <w:jc w:val="both"/>
        <w:rPr>
          <w:rFonts w:ascii="Palatino Linotype" w:eastAsia="Arial" w:hAnsi="Palatino Linotype" w:cs="Arial"/>
          <w:b/>
          <w:sz w:val="28"/>
          <w:szCs w:val="28"/>
        </w:rPr>
      </w:pPr>
    </w:p>
    <w:p w14:paraId="55B92B06" w14:textId="77777777" w:rsidR="00DE765C" w:rsidRPr="00407E08" w:rsidRDefault="00DE765C" w:rsidP="00B52FBA">
      <w:pPr>
        <w:jc w:val="both"/>
        <w:rPr>
          <w:rFonts w:ascii="Palatino Linotype" w:eastAsia="Arial" w:hAnsi="Palatino Linotype" w:cs="Arial"/>
          <w:sz w:val="28"/>
          <w:szCs w:val="28"/>
        </w:rPr>
      </w:pPr>
      <w:r w:rsidRPr="00407E08">
        <w:rPr>
          <w:rFonts w:ascii="Palatino Linotype" w:eastAsia="Arial" w:hAnsi="Palatino Linotype" w:cs="Arial"/>
          <w:b/>
          <w:sz w:val="28"/>
          <w:szCs w:val="28"/>
        </w:rPr>
        <w:t>Artículo 27</w:t>
      </w:r>
      <w:r w:rsidRPr="00407E08">
        <w:rPr>
          <w:rFonts w:ascii="Palatino Linotype" w:eastAsia="Arial" w:hAnsi="Palatino Linotype" w:cs="Arial"/>
          <w:sz w:val="28"/>
          <w:szCs w:val="28"/>
        </w:rPr>
        <w:t>. La Tesorería Nacional y las Tesorerías Estatales deberán registrar contablemente y documentar mediante contratos de comodato los bienes muebles e inmuebles recibidos para su uso o goce temporal asignándoles valor económico de acuerdo a los sistemas de valuación establecidos en el Reglamento de Fiscalización.</w:t>
      </w:r>
    </w:p>
    <w:p w14:paraId="3BB46011" w14:textId="77777777" w:rsidR="00DE765C" w:rsidRPr="00407E08" w:rsidRDefault="00DE765C" w:rsidP="00B52FBA">
      <w:pPr>
        <w:jc w:val="both"/>
        <w:rPr>
          <w:rFonts w:ascii="Palatino Linotype" w:eastAsia="Arial" w:hAnsi="Palatino Linotype" w:cs="Arial"/>
          <w:sz w:val="28"/>
          <w:szCs w:val="28"/>
        </w:rPr>
      </w:pPr>
    </w:p>
    <w:p w14:paraId="11D652AE" w14:textId="77777777" w:rsidR="00DE765C" w:rsidRPr="00407E08" w:rsidRDefault="00DE765C" w:rsidP="00B52FBA">
      <w:pPr>
        <w:tabs>
          <w:tab w:val="left" w:pos="0"/>
        </w:tabs>
        <w:jc w:val="center"/>
        <w:rPr>
          <w:rFonts w:ascii="Palatino Linotype" w:eastAsia="Arial" w:hAnsi="Palatino Linotype" w:cs="Arial"/>
          <w:sz w:val="28"/>
          <w:szCs w:val="28"/>
        </w:rPr>
      </w:pPr>
      <w:r w:rsidRPr="00407E08">
        <w:rPr>
          <w:rFonts w:ascii="Palatino Linotype" w:eastAsia="Arial" w:hAnsi="Palatino Linotype" w:cs="Arial"/>
          <w:b/>
          <w:sz w:val="28"/>
          <w:szCs w:val="28"/>
        </w:rPr>
        <w:t xml:space="preserve">CAPÍTULO </w:t>
      </w:r>
      <w:r w:rsidRPr="00407E08">
        <w:rPr>
          <w:rFonts w:ascii="Palatino Linotype" w:eastAsia="Arial" w:hAnsi="Palatino Linotype" w:cs="Arial"/>
          <w:b/>
          <w:w w:val="99"/>
          <w:sz w:val="28"/>
          <w:szCs w:val="28"/>
        </w:rPr>
        <w:t>VIII</w:t>
      </w:r>
    </w:p>
    <w:p w14:paraId="662EA344" w14:textId="77777777" w:rsidR="00DE765C" w:rsidRPr="00407E08" w:rsidRDefault="00DE765C" w:rsidP="00B52FBA">
      <w:pPr>
        <w:tabs>
          <w:tab w:val="left" w:pos="0"/>
        </w:tabs>
        <w:jc w:val="center"/>
        <w:rPr>
          <w:rFonts w:ascii="Palatino Linotype" w:eastAsia="Arial" w:hAnsi="Palatino Linotype" w:cs="Arial"/>
          <w:b/>
          <w:position w:val="-1"/>
          <w:sz w:val="28"/>
          <w:szCs w:val="28"/>
        </w:rPr>
      </w:pPr>
      <w:r w:rsidRPr="00407E08">
        <w:rPr>
          <w:rFonts w:ascii="Palatino Linotype" w:eastAsia="Arial" w:hAnsi="Palatino Linotype" w:cs="Arial"/>
          <w:b/>
          <w:position w:val="-1"/>
          <w:sz w:val="28"/>
          <w:szCs w:val="28"/>
        </w:rPr>
        <w:t>DE LAS RESPONSABILIDADES</w:t>
      </w:r>
    </w:p>
    <w:p w14:paraId="263A618A" w14:textId="77777777" w:rsidR="00DE765C" w:rsidRPr="00407E08" w:rsidRDefault="00DE765C" w:rsidP="00B52FBA">
      <w:pPr>
        <w:jc w:val="both"/>
        <w:rPr>
          <w:rFonts w:ascii="Palatino Linotype" w:eastAsia="Arial" w:hAnsi="Palatino Linotype" w:cs="Arial"/>
          <w:sz w:val="28"/>
          <w:szCs w:val="28"/>
        </w:rPr>
      </w:pPr>
    </w:p>
    <w:p w14:paraId="28BCABF3" w14:textId="77777777" w:rsidR="00DE765C" w:rsidRPr="00407E08" w:rsidRDefault="00DE765C" w:rsidP="00B52FBA">
      <w:pPr>
        <w:jc w:val="both"/>
        <w:rPr>
          <w:rFonts w:ascii="Palatino Linotype" w:eastAsia="Arial" w:hAnsi="Palatino Linotype" w:cs="Arial"/>
          <w:sz w:val="28"/>
          <w:szCs w:val="28"/>
        </w:rPr>
      </w:pPr>
      <w:r w:rsidRPr="00407E08">
        <w:rPr>
          <w:rFonts w:ascii="Palatino Linotype" w:eastAsia="Arial" w:hAnsi="Palatino Linotype" w:cs="Arial"/>
          <w:b/>
          <w:sz w:val="28"/>
          <w:szCs w:val="28"/>
        </w:rPr>
        <w:t>Artículo 28</w:t>
      </w:r>
      <w:r w:rsidRPr="00407E08">
        <w:rPr>
          <w:rFonts w:ascii="Palatino Linotype" w:eastAsia="Arial" w:hAnsi="Palatino Linotype" w:cs="Arial"/>
          <w:sz w:val="28"/>
          <w:szCs w:val="28"/>
        </w:rPr>
        <w:t xml:space="preserve">. Es responsabilidad del Tesorero Nacional los registros contables y la presentación de los Informes: trimestrales, anuales, de </w:t>
      </w:r>
      <w:r w:rsidRPr="00407E08">
        <w:rPr>
          <w:rFonts w:ascii="Palatino Linotype" w:eastAsia="Arial" w:hAnsi="Palatino Linotype" w:cs="Arial"/>
          <w:sz w:val="28"/>
          <w:szCs w:val="28"/>
        </w:rPr>
        <w:lastRenderedPageBreak/>
        <w:t>precampañas y campañas a nivel federal; en apego a la normatividad en materia electoral.</w:t>
      </w:r>
    </w:p>
    <w:p w14:paraId="691D4152" w14:textId="77777777" w:rsidR="00DE765C" w:rsidRPr="00407E08" w:rsidRDefault="00DE765C" w:rsidP="00B52FBA">
      <w:pPr>
        <w:jc w:val="both"/>
        <w:rPr>
          <w:rFonts w:ascii="Palatino Linotype" w:eastAsia="Arial" w:hAnsi="Palatino Linotype" w:cs="Arial"/>
          <w:sz w:val="28"/>
          <w:szCs w:val="28"/>
        </w:rPr>
      </w:pPr>
    </w:p>
    <w:p w14:paraId="225FE1E6" w14:textId="77777777" w:rsidR="00DE765C" w:rsidRPr="00407E08" w:rsidRDefault="00DE765C" w:rsidP="00B52FBA">
      <w:pPr>
        <w:jc w:val="both"/>
        <w:rPr>
          <w:rFonts w:ascii="Palatino Linotype" w:eastAsia="Arial" w:hAnsi="Palatino Linotype" w:cs="Arial"/>
          <w:sz w:val="28"/>
          <w:szCs w:val="28"/>
        </w:rPr>
      </w:pPr>
      <w:r w:rsidRPr="00407E08">
        <w:rPr>
          <w:rFonts w:ascii="Palatino Linotype" w:eastAsia="Arial" w:hAnsi="Palatino Linotype" w:cs="Arial"/>
          <w:b/>
          <w:sz w:val="28"/>
          <w:szCs w:val="28"/>
        </w:rPr>
        <w:t>Artículo 29</w:t>
      </w:r>
      <w:r w:rsidRPr="00407E08">
        <w:rPr>
          <w:rFonts w:ascii="Palatino Linotype" w:eastAsia="Arial" w:hAnsi="Palatino Linotype" w:cs="Arial"/>
          <w:sz w:val="28"/>
          <w:szCs w:val="28"/>
        </w:rPr>
        <w:t>. En virtud de lo señalado en los artículos 30, numeral 2, inciso f); y 38, inciso e) de los Estatutos de Movimiento Ciudadano, es responsabilidad de cada Comisión Operativa Estatal y de los Tesoreros Estatales los registros contables y la presentación de los Informes: trimestrales, anuales, de precampañas y campañas a nivel local, salvo en los casos en los que la Comisión Operativa Nacional lo excluya.</w:t>
      </w:r>
    </w:p>
    <w:p w14:paraId="5369F8BD" w14:textId="77777777" w:rsidR="00DE765C" w:rsidRPr="00407E08" w:rsidRDefault="00DE765C" w:rsidP="00B52FBA">
      <w:pPr>
        <w:jc w:val="both"/>
        <w:rPr>
          <w:rFonts w:ascii="Palatino Linotype" w:eastAsia="Arial" w:hAnsi="Palatino Linotype" w:cs="Arial"/>
          <w:sz w:val="28"/>
          <w:szCs w:val="28"/>
        </w:rPr>
      </w:pPr>
    </w:p>
    <w:p w14:paraId="23784FBE" w14:textId="77777777" w:rsidR="00DE765C" w:rsidRPr="00407E08" w:rsidRDefault="00DE765C" w:rsidP="00B52FBA">
      <w:pPr>
        <w:jc w:val="both"/>
        <w:rPr>
          <w:rFonts w:ascii="Palatino Linotype" w:eastAsia="Arial" w:hAnsi="Palatino Linotype" w:cs="Arial"/>
          <w:sz w:val="28"/>
          <w:szCs w:val="28"/>
        </w:rPr>
      </w:pPr>
      <w:r w:rsidRPr="00407E08">
        <w:rPr>
          <w:rFonts w:ascii="Palatino Linotype" w:eastAsia="Arial" w:hAnsi="Palatino Linotype" w:cs="Arial"/>
          <w:b/>
          <w:sz w:val="28"/>
          <w:szCs w:val="28"/>
        </w:rPr>
        <w:t>Artículo 30</w:t>
      </w:r>
      <w:r w:rsidRPr="00407E08">
        <w:rPr>
          <w:rFonts w:ascii="Palatino Linotype" w:eastAsia="Arial" w:hAnsi="Palatino Linotype" w:cs="Arial"/>
          <w:sz w:val="28"/>
          <w:szCs w:val="28"/>
        </w:rPr>
        <w:t>. Es responsabilidad de los funcionarios, empleados y ciudadanos la comprobación en tiempo y forma de los recursos que reciban de la Tesorería Nacional y de las Tesorerías Estatales. En caso de incumplimiento de los funcionarios y empleados se sujetarán a lo dispuesto en el artículo 129 del Reglamento de Fiscalización.</w:t>
      </w:r>
    </w:p>
    <w:p w14:paraId="5997E0C6" w14:textId="77777777" w:rsidR="00DE765C" w:rsidRPr="00407E08" w:rsidRDefault="00DE765C" w:rsidP="00B52FBA">
      <w:pPr>
        <w:jc w:val="both"/>
        <w:rPr>
          <w:rFonts w:ascii="Palatino Linotype" w:eastAsia="Arial" w:hAnsi="Palatino Linotype" w:cs="Arial"/>
          <w:sz w:val="28"/>
          <w:szCs w:val="28"/>
        </w:rPr>
      </w:pPr>
    </w:p>
    <w:p w14:paraId="3296E0F9" w14:textId="77777777" w:rsidR="00DE765C" w:rsidRPr="00407E08" w:rsidRDefault="00DE765C" w:rsidP="00B52FBA">
      <w:pPr>
        <w:jc w:val="both"/>
        <w:rPr>
          <w:rFonts w:ascii="Palatino Linotype" w:eastAsia="Arial" w:hAnsi="Palatino Linotype" w:cs="Arial"/>
          <w:sz w:val="28"/>
          <w:szCs w:val="28"/>
        </w:rPr>
      </w:pPr>
      <w:r w:rsidRPr="00407E08">
        <w:rPr>
          <w:rFonts w:ascii="Palatino Linotype" w:eastAsia="Arial" w:hAnsi="Palatino Linotype" w:cs="Arial"/>
          <w:b/>
          <w:sz w:val="28"/>
          <w:szCs w:val="28"/>
        </w:rPr>
        <w:t>Artículo 31</w:t>
      </w:r>
      <w:r w:rsidRPr="00407E08">
        <w:rPr>
          <w:rFonts w:ascii="Palatino Linotype" w:eastAsia="Arial" w:hAnsi="Palatino Linotype" w:cs="Arial"/>
          <w:sz w:val="28"/>
          <w:szCs w:val="28"/>
        </w:rPr>
        <w:t>. Es responsabilidad de las Comisiones Operativas Estatales y de las Tesorerías Estatales, al término de su gestión ya sea por conclusión o disolución, máximo dos días hábiles después de recibir de la Tesorería Nacional la notificación correspondiente, hacer entrega de todos los bienes muebles e inmuebles que sean propiedad de esa Comisión o que se encuentren en comodato, cuentas por cobrar y por pagar, laudos y demandas tanto del recurso federal como local, con la cuantificación de los mismos, mediante un acta de entrega-recepción, la cual deberá contener la firma de quienes entregan, reciben y del interventor que será designado por la Tesorería Nacional, la que podrá designar también a un abogado, auditor o notario para que dé constancia de la entrega recepción; además de la relatoría de toda la documentación e información propiedad de Movimiento Ciudadano. Asimismo, quien o quienes entregan se deberán comprometer a mantener en estricta confidencialidad la información o documentación que hayan obtenido como resultado del desempeño de su cargo o de la participación con Movimiento Ciudadano.</w:t>
      </w:r>
    </w:p>
    <w:p w14:paraId="61419083" w14:textId="77777777" w:rsidR="00DE765C" w:rsidRPr="00407E08" w:rsidRDefault="00DE765C" w:rsidP="00B52FBA">
      <w:pPr>
        <w:jc w:val="both"/>
        <w:rPr>
          <w:rFonts w:ascii="Palatino Linotype" w:eastAsia="Arial" w:hAnsi="Palatino Linotype" w:cs="Arial"/>
          <w:sz w:val="28"/>
          <w:szCs w:val="28"/>
        </w:rPr>
      </w:pPr>
    </w:p>
    <w:p w14:paraId="2B51EC8C" w14:textId="77777777" w:rsidR="00DE765C" w:rsidRPr="00407E08" w:rsidRDefault="00DE765C" w:rsidP="00B52FBA">
      <w:pPr>
        <w:jc w:val="both"/>
        <w:rPr>
          <w:rFonts w:ascii="Palatino Linotype" w:eastAsia="Arial" w:hAnsi="Palatino Linotype" w:cs="Arial"/>
          <w:b/>
          <w:sz w:val="28"/>
          <w:szCs w:val="28"/>
        </w:rPr>
      </w:pPr>
      <w:r w:rsidRPr="00407E08">
        <w:rPr>
          <w:rFonts w:ascii="Palatino Linotype" w:eastAsia="Arial" w:hAnsi="Palatino Linotype" w:cs="Arial"/>
          <w:b/>
          <w:sz w:val="28"/>
          <w:szCs w:val="28"/>
        </w:rPr>
        <w:lastRenderedPageBreak/>
        <w:t>Las bajas o renuncias del personal</w:t>
      </w:r>
      <w:r w:rsidR="007D0FFD" w:rsidRPr="00407E08">
        <w:rPr>
          <w:rFonts w:ascii="Palatino Linotype" w:eastAsia="Arial" w:hAnsi="Palatino Linotype" w:cs="Arial"/>
          <w:b/>
          <w:sz w:val="28"/>
          <w:szCs w:val="28"/>
        </w:rPr>
        <w:t xml:space="preserve"> administrativo</w:t>
      </w:r>
      <w:r w:rsidRPr="00407E08">
        <w:rPr>
          <w:rFonts w:ascii="Palatino Linotype" w:eastAsia="Arial" w:hAnsi="Palatino Linotype" w:cs="Arial"/>
          <w:b/>
          <w:sz w:val="28"/>
          <w:szCs w:val="28"/>
        </w:rPr>
        <w:t>, invariablemente deberán realizarse ante la Junta de Conciliación y Arbitraje de la entidad federativa correspondiente, y deberán ser previamente autorizadas por la Secretaría de Asuntos Jurídicos de Movimiento Ciudadano. El área de Recursos Humanos será responsable de vigilar el cumplimiento estricto de la presente disposición.</w:t>
      </w:r>
    </w:p>
    <w:p w14:paraId="00EC937A" w14:textId="77777777" w:rsidR="00DE765C" w:rsidRPr="00407E08" w:rsidRDefault="00DE765C" w:rsidP="00B52FBA">
      <w:pPr>
        <w:jc w:val="both"/>
        <w:rPr>
          <w:rFonts w:ascii="Palatino Linotype" w:eastAsia="Arial" w:hAnsi="Palatino Linotype" w:cs="Arial"/>
          <w:sz w:val="28"/>
          <w:szCs w:val="28"/>
        </w:rPr>
      </w:pPr>
    </w:p>
    <w:p w14:paraId="0EE24FEB" w14:textId="77777777" w:rsidR="00DE765C" w:rsidRPr="00407E08" w:rsidRDefault="00DE765C" w:rsidP="00B52FBA">
      <w:pPr>
        <w:jc w:val="both"/>
        <w:rPr>
          <w:rFonts w:ascii="Palatino Linotype" w:eastAsia="Arial" w:hAnsi="Palatino Linotype" w:cs="Arial"/>
          <w:sz w:val="28"/>
          <w:szCs w:val="28"/>
        </w:rPr>
      </w:pPr>
      <w:r w:rsidRPr="00407E08">
        <w:rPr>
          <w:rFonts w:ascii="Palatino Linotype" w:eastAsia="Arial" w:hAnsi="Palatino Linotype" w:cs="Arial"/>
          <w:b/>
          <w:sz w:val="28"/>
          <w:szCs w:val="28"/>
        </w:rPr>
        <w:t>Artículo 32.</w:t>
      </w:r>
      <w:r w:rsidRPr="00407E08">
        <w:rPr>
          <w:rFonts w:ascii="Palatino Linotype" w:eastAsia="Arial" w:hAnsi="Palatino Linotype" w:cs="Arial"/>
          <w:sz w:val="28"/>
          <w:szCs w:val="28"/>
        </w:rPr>
        <w:t xml:space="preserve"> Es responsabilidad de la Comisión Operativa Estatal que recibe u órgano equivalente, asumir los derechos y obligaciones que hasta el momento de la firma se hayan generado de los conceptos referidos en el artículo 31 del presente reglamento y de todos los que consten en el acta de entrega recepción.</w:t>
      </w:r>
    </w:p>
    <w:p w14:paraId="1B209E60" w14:textId="77777777" w:rsidR="00DE765C" w:rsidRPr="00407E08" w:rsidRDefault="00DE765C" w:rsidP="00B52FBA">
      <w:pPr>
        <w:jc w:val="both"/>
        <w:rPr>
          <w:rFonts w:ascii="Palatino Linotype" w:eastAsia="Arial" w:hAnsi="Palatino Linotype" w:cs="Arial"/>
          <w:sz w:val="28"/>
          <w:szCs w:val="28"/>
        </w:rPr>
      </w:pPr>
    </w:p>
    <w:p w14:paraId="4D688A19" w14:textId="77777777" w:rsidR="00DE765C" w:rsidRPr="00407E08" w:rsidRDefault="00DE765C" w:rsidP="00B52FBA">
      <w:pPr>
        <w:jc w:val="both"/>
        <w:rPr>
          <w:rFonts w:ascii="Palatino Linotype" w:eastAsia="Arial" w:hAnsi="Palatino Linotype" w:cs="Arial"/>
          <w:sz w:val="28"/>
          <w:szCs w:val="28"/>
        </w:rPr>
      </w:pPr>
      <w:r w:rsidRPr="00407E08">
        <w:rPr>
          <w:rFonts w:ascii="Palatino Linotype" w:eastAsia="Arial" w:hAnsi="Palatino Linotype" w:cs="Arial"/>
          <w:b/>
          <w:sz w:val="28"/>
          <w:szCs w:val="28"/>
        </w:rPr>
        <w:t>Artículo 33.</w:t>
      </w:r>
      <w:r w:rsidRPr="00407E08">
        <w:rPr>
          <w:rFonts w:ascii="Palatino Linotype" w:eastAsia="Arial" w:hAnsi="Palatino Linotype" w:cs="Arial"/>
          <w:sz w:val="28"/>
          <w:szCs w:val="28"/>
        </w:rPr>
        <w:t xml:space="preserve"> Es responsabilidad de la Comisión Operativa Estatal contar con un cuerpo técnico profesional para su Tesorería Estatal, capacitado por la Tesorería Nacional independientemente de las capacitaciones recibidas por el Instituto Nacional Electoral.</w:t>
      </w:r>
    </w:p>
    <w:p w14:paraId="3E86D2A3" w14:textId="77777777" w:rsidR="00DE765C" w:rsidRPr="00407E08" w:rsidRDefault="00DE765C" w:rsidP="00B52FBA">
      <w:pPr>
        <w:jc w:val="both"/>
        <w:rPr>
          <w:rFonts w:ascii="Palatino Linotype" w:eastAsia="Arial" w:hAnsi="Palatino Linotype" w:cs="Arial"/>
          <w:sz w:val="28"/>
          <w:szCs w:val="28"/>
        </w:rPr>
      </w:pPr>
    </w:p>
    <w:p w14:paraId="554B8870" w14:textId="77777777" w:rsidR="00DE765C" w:rsidRPr="00407E08" w:rsidRDefault="00DE765C" w:rsidP="00B52FBA">
      <w:pPr>
        <w:jc w:val="both"/>
        <w:rPr>
          <w:rFonts w:ascii="Palatino Linotype" w:eastAsia="Arial" w:hAnsi="Palatino Linotype" w:cs="Arial"/>
          <w:sz w:val="28"/>
          <w:szCs w:val="28"/>
        </w:rPr>
      </w:pPr>
      <w:r w:rsidRPr="00407E08">
        <w:rPr>
          <w:rFonts w:ascii="Palatino Linotype" w:eastAsia="Arial" w:hAnsi="Palatino Linotype" w:cs="Arial"/>
          <w:sz w:val="28"/>
          <w:szCs w:val="28"/>
        </w:rPr>
        <w:t>El cuerpo técnico profesional al que se refiere el presente artículo deberá cumplir con lo siguiente:</w:t>
      </w:r>
    </w:p>
    <w:p w14:paraId="4DBE06A1" w14:textId="77777777" w:rsidR="00DE765C" w:rsidRPr="00407E08" w:rsidRDefault="00DE765C" w:rsidP="00B52FBA">
      <w:pPr>
        <w:jc w:val="both"/>
        <w:rPr>
          <w:rFonts w:ascii="Palatino Linotype" w:eastAsia="Arial" w:hAnsi="Palatino Linotype" w:cs="Arial"/>
          <w:sz w:val="28"/>
          <w:szCs w:val="28"/>
        </w:rPr>
      </w:pPr>
    </w:p>
    <w:p w14:paraId="0E113571" w14:textId="77777777" w:rsidR="00DE765C" w:rsidRPr="00407E08" w:rsidRDefault="00DE765C" w:rsidP="00B52FBA">
      <w:pPr>
        <w:pStyle w:val="Prrafodelista"/>
        <w:numPr>
          <w:ilvl w:val="0"/>
          <w:numId w:val="7"/>
        </w:numPr>
        <w:jc w:val="both"/>
        <w:rPr>
          <w:rFonts w:ascii="Palatino Linotype" w:eastAsia="Arial" w:hAnsi="Palatino Linotype" w:cs="Arial"/>
          <w:sz w:val="28"/>
          <w:szCs w:val="28"/>
          <w:lang w:val="es-MX"/>
        </w:rPr>
      </w:pPr>
      <w:r w:rsidRPr="00407E08">
        <w:rPr>
          <w:rFonts w:ascii="Palatino Linotype" w:eastAsia="Arial" w:hAnsi="Palatino Linotype" w:cs="Arial"/>
          <w:sz w:val="28"/>
          <w:szCs w:val="28"/>
          <w:lang w:val="es-MX"/>
        </w:rPr>
        <w:t>Perfil contable, económico o administrativo.</w:t>
      </w:r>
    </w:p>
    <w:p w14:paraId="453BF98E" w14:textId="77777777" w:rsidR="00DE765C" w:rsidRPr="00407E08" w:rsidRDefault="00DE765C" w:rsidP="00B52FBA">
      <w:pPr>
        <w:pStyle w:val="Prrafodelista"/>
        <w:numPr>
          <w:ilvl w:val="0"/>
          <w:numId w:val="7"/>
        </w:numPr>
        <w:jc w:val="both"/>
        <w:rPr>
          <w:rFonts w:ascii="Palatino Linotype" w:eastAsia="Arial" w:hAnsi="Palatino Linotype" w:cs="Arial"/>
          <w:sz w:val="28"/>
          <w:szCs w:val="28"/>
          <w:lang w:val="es-MX"/>
        </w:rPr>
      </w:pPr>
      <w:r w:rsidRPr="00407E08">
        <w:rPr>
          <w:rFonts w:ascii="Palatino Linotype" w:eastAsia="Arial" w:hAnsi="Palatino Linotype" w:cs="Arial"/>
          <w:sz w:val="28"/>
          <w:szCs w:val="28"/>
          <w:lang w:val="es-MX"/>
        </w:rPr>
        <w:t xml:space="preserve">6 Horas de capacitación impartidas por la Tesorería Nacional, previas a la autorización o incorporación de firmas para el manejo de las cuentas bancarias de Movimiento Ciudadano.  </w:t>
      </w:r>
    </w:p>
    <w:p w14:paraId="28E19DB2" w14:textId="77777777" w:rsidR="00DE765C" w:rsidRPr="00407E08" w:rsidRDefault="00DE765C" w:rsidP="00B52FBA">
      <w:pPr>
        <w:tabs>
          <w:tab w:val="left" w:pos="0"/>
        </w:tabs>
        <w:jc w:val="center"/>
        <w:rPr>
          <w:rFonts w:ascii="Palatino Linotype" w:eastAsia="Arial" w:hAnsi="Palatino Linotype" w:cs="Arial"/>
          <w:b/>
          <w:sz w:val="28"/>
          <w:szCs w:val="28"/>
        </w:rPr>
      </w:pPr>
    </w:p>
    <w:p w14:paraId="726B78B9" w14:textId="77777777" w:rsidR="00B52FBA" w:rsidRPr="00407E08" w:rsidRDefault="00B52FBA" w:rsidP="00B52FBA">
      <w:pPr>
        <w:tabs>
          <w:tab w:val="left" w:pos="0"/>
        </w:tabs>
        <w:jc w:val="center"/>
        <w:rPr>
          <w:rFonts w:ascii="Palatino Linotype" w:eastAsia="Arial" w:hAnsi="Palatino Linotype" w:cs="Arial"/>
          <w:b/>
          <w:sz w:val="28"/>
          <w:szCs w:val="28"/>
        </w:rPr>
      </w:pPr>
    </w:p>
    <w:p w14:paraId="200340DA" w14:textId="77777777" w:rsidR="00DE765C" w:rsidRPr="00407E08" w:rsidRDefault="00DE765C" w:rsidP="00B52FBA">
      <w:pPr>
        <w:tabs>
          <w:tab w:val="left" w:pos="0"/>
        </w:tabs>
        <w:jc w:val="center"/>
        <w:rPr>
          <w:rFonts w:ascii="Palatino Linotype" w:eastAsia="Arial" w:hAnsi="Palatino Linotype" w:cs="Arial"/>
          <w:b/>
          <w:sz w:val="28"/>
          <w:szCs w:val="28"/>
        </w:rPr>
      </w:pPr>
      <w:r w:rsidRPr="00407E08">
        <w:rPr>
          <w:rFonts w:ascii="Palatino Linotype" w:eastAsia="Arial" w:hAnsi="Palatino Linotype" w:cs="Arial"/>
          <w:b/>
          <w:sz w:val="28"/>
          <w:szCs w:val="28"/>
        </w:rPr>
        <w:t>CAPÍTULO IX</w:t>
      </w:r>
    </w:p>
    <w:p w14:paraId="37DBB78C" w14:textId="77777777" w:rsidR="00DE765C" w:rsidRPr="00407E08" w:rsidRDefault="00DE765C" w:rsidP="00B52FBA">
      <w:pPr>
        <w:tabs>
          <w:tab w:val="left" w:pos="0"/>
        </w:tabs>
        <w:jc w:val="center"/>
        <w:rPr>
          <w:rFonts w:ascii="Palatino Linotype" w:eastAsia="Arial" w:hAnsi="Palatino Linotype" w:cs="Arial"/>
          <w:b/>
          <w:sz w:val="28"/>
          <w:szCs w:val="28"/>
        </w:rPr>
      </w:pPr>
      <w:r w:rsidRPr="00407E08">
        <w:rPr>
          <w:rFonts w:ascii="Palatino Linotype" w:eastAsia="Arial" w:hAnsi="Palatino Linotype" w:cs="Arial"/>
          <w:b/>
          <w:sz w:val="28"/>
          <w:szCs w:val="28"/>
        </w:rPr>
        <w:t>DE LA CONTRALORÍA</w:t>
      </w:r>
    </w:p>
    <w:p w14:paraId="031D5339" w14:textId="77777777" w:rsidR="00DE765C" w:rsidRPr="00407E08" w:rsidRDefault="00DE765C" w:rsidP="00B52FBA">
      <w:pPr>
        <w:tabs>
          <w:tab w:val="left" w:pos="0"/>
        </w:tabs>
        <w:jc w:val="center"/>
        <w:rPr>
          <w:rFonts w:ascii="Palatino Linotype" w:eastAsia="Arial" w:hAnsi="Palatino Linotype" w:cs="Arial"/>
          <w:b/>
          <w:sz w:val="28"/>
          <w:szCs w:val="28"/>
        </w:rPr>
      </w:pPr>
    </w:p>
    <w:p w14:paraId="170E71A0" w14:textId="77777777" w:rsidR="00DE765C" w:rsidRPr="00407E08" w:rsidRDefault="00DE765C" w:rsidP="00B52FBA">
      <w:pPr>
        <w:tabs>
          <w:tab w:val="left" w:pos="0"/>
        </w:tabs>
        <w:jc w:val="both"/>
        <w:rPr>
          <w:rFonts w:ascii="Palatino Linotype" w:eastAsia="Arial" w:hAnsi="Palatino Linotype" w:cs="Arial"/>
          <w:b/>
          <w:sz w:val="28"/>
          <w:szCs w:val="28"/>
        </w:rPr>
      </w:pPr>
      <w:r w:rsidRPr="00407E08">
        <w:rPr>
          <w:rFonts w:ascii="Palatino Linotype" w:eastAsia="Arial" w:hAnsi="Palatino Linotype" w:cs="Arial"/>
          <w:b/>
          <w:sz w:val="28"/>
          <w:szCs w:val="28"/>
        </w:rPr>
        <w:t>Artículo 34. La Contraloría estará a cargo de un Contralor Interno designado por la Comisión Operativa Nacional a propuesta del Coordinador de dicha Comisión.</w:t>
      </w:r>
    </w:p>
    <w:p w14:paraId="2029B848" w14:textId="77777777" w:rsidR="00DE765C" w:rsidRPr="00407E08" w:rsidRDefault="00DE765C" w:rsidP="00B52FBA">
      <w:pPr>
        <w:tabs>
          <w:tab w:val="left" w:pos="0"/>
        </w:tabs>
        <w:jc w:val="both"/>
        <w:rPr>
          <w:rFonts w:ascii="Palatino Linotype" w:eastAsia="Arial" w:hAnsi="Palatino Linotype" w:cs="Arial"/>
          <w:b/>
          <w:sz w:val="28"/>
          <w:szCs w:val="28"/>
        </w:rPr>
      </w:pPr>
    </w:p>
    <w:p w14:paraId="7B8F72A0" w14:textId="77777777" w:rsidR="00DE765C" w:rsidRPr="00407E08" w:rsidRDefault="00DE765C" w:rsidP="00B52FBA">
      <w:pPr>
        <w:tabs>
          <w:tab w:val="left" w:pos="0"/>
        </w:tabs>
        <w:jc w:val="both"/>
        <w:rPr>
          <w:rFonts w:ascii="Palatino Linotype" w:eastAsia="Arial" w:hAnsi="Palatino Linotype" w:cs="Arial"/>
          <w:b/>
          <w:sz w:val="28"/>
          <w:szCs w:val="28"/>
        </w:rPr>
      </w:pPr>
      <w:r w:rsidRPr="00407E08">
        <w:rPr>
          <w:rFonts w:ascii="Palatino Linotype" w:eastAsia="Arial" w:hAnsi="Palatino Linotype" w:cs="Arial"/>
          <w:b/>
          <w:sz w:val="28"/>
          <w:szCs w:val="28"/>
        </w:rPr>
        <w:lastRenderedPageBreak/>
        <w:t>Artículo 35. Las funciones de la Contraloría se encuentran establecidas en el artículo 86 de los Estatutos de Movimiento Ciudadano.</w:t>
      </w:r>
    </w:p>
    <w:p w14:paraId="492D6779" w14:textId="77777777" w:rsidR="00DE765C" w:rsidRPr="00407E08" w:rsidRDefault="00DE765C" w:rsidP="00B52FBA">
      <w:pPr>
        <w:tabs>
          <w:tab w:val="left" w:pos="0"/>
        </w:tabs>
        <w:jc w:val="both"/>
        <w:rPr>
          <w:rFonts w:ascii="Palatino Linotype" w:eastAsia="Arial" w:hAnsi="Palatino Linotype" w:cs="Arial"/>
          <w:b/>
          <w:sz w:val="28"/>
          <w:szCs w:val="28"/>
        </w:rPr>
      </w:pPr>
    </w:p>
    <w:p w14:paraId="6DE776D4" w14:textId="77777777" w:rsidR="00DE765C" w:rsidRPr="00407E08" w:rsidRDefault="00DE765C" w:rsidP="00B52FBA">
      <w:pPr>
        <w:tabs>
          <w:tab w:val="left" w:pos="0"/>
        </w:tabs>
        <w:jc w:val="both"/>
        <w:rPr>
          <w:rFonts w:ascii="Palatino Linotype" w:eastAsia="Arial" w:hAnsi="Palatino Linotype" w:cs="Arial"/>
          <w:b/>
          <w:sz w:val="28"/>
          <w:szCs w:val="28"/>
        </w:rPr>
      </w:pPr>
      <w:r w:rsidRPr="00407E08">
        <w:rPr>
          <w:rFonts w:ascii="Palatino Linotype" w:eastAsia="Arial" w:hAnsi="Palatino Linotype" w:cs="Arial"/>
          <w:b/>
          <w:sz w:val="28"/>
          <w:szCs w:val="28"/>
        </w:rPr>
        <w:t xml:space="preserve">Artículo 36. Para el adecuado funcionamiento de la Contraloría, ésta contará con un cuerpo técnico profesional que será designado por </w:t>
      </w:r>
      <w:r w:rsidR="00AA5137" w:rsidRPr="00407E08">
        <w:rPr>
          <w:rFonts w:ascii="Palatino Linotype" w:eastAsia="Arial" w:hAnsi="Palatino Linotype" w:cs="Arial"/>
          <w:b/>
          <w:sz w:val="28"/>
          <w:szCs w:val="28"/>
        </w:rPr>
        <w:t>quien ostente la titularidad.</w:t>
      </w:r>
    </w:p>
    <w:p w14:paraId="63C6961B" w14:textId="77777777" w:rsidR="00DE765C" w:rsidRPr="00407E08" w:rsidRDefault="00DE765C" w:rsidP="00B52FBA">
      <w:pPr>
        <w:tabs>
          <w:tab w:val="left" w:pos="0"/>
        </w:tabs>
        <w:jc w:val="center"/>
        <w:rPr>
          <w:rFonts w:ascii="Palatino Linotype" w:eastAsia="Arial" w:hAnsi="Palatino Linotype" w:cs="Arial"/>
          <w:b/>
          <w:sz w:val="28"/>
          <w:szCs w:val="28"/>
        </w:rPr>
      </w:pPr>
    </w:p>
    <w:p w14:paraId="547963A6" w14:textId="77777777" w:rsidR="00800EE6" w:rsidRPr="00407E08" w:rsidRDefault="00800EE6" w:rsidP="00B52FBA">
      <w:pPr>
        <w:tabs>
          <w:tab w:val="left" w:pos="0"/>
        </w:tabs>
        <w:jc w:val="center"/>
        <w:rPr>
          <w:rFonts w:ascii="Palatino Linotype" w:eastAsia="Arial" w:hAnsi="Palatino Linotype" w:cs="Arial"/>
          <w:b/>
          <w:sz w:val="28"/>
          <w:szCs w:val="28"/>
        </w:rPr>
      </w:pPr>
    </w:p>
    <w:p w14:paraId="4FF0A8FA" w14:textId="77777777" w:rsidR="00800EE6" w:rsidRPr="00407E08" w:rsidRDefault="00800EE6" w:rsidP="00B52FBA">
      <w:pPr>
        <w:tabs>
          <w:tab w:val="left" w:pos="0"/>
        </w:tabs>
        <w:jc w:val="center"/>
        <w:rPr>
          <w:rFonts w:ascii="Palatino Linotype" w:eastAsia="Arial" w:hAnsi="Palatino Linotype" w:cs="Arial"/>
          <w:b/>
          <w:sz w:val="28"/>
          <w:szCs w:val="28"/>
        </w:rPr>
      </w:pPr>
    </w:p>
    <w:p w14:paraId="5E8F5835" w14:textId="77777777" w:rsidR="00800EE6" w:rsidRPr="00407E08" w:rsidRDefault="00800EE6" w:rsidP="00B52FBA">
      <w:pPr>
        <w:tabs>
          <w:tab w:val="left" w:pos="0"/>
        </w:tabs>
        <w:jc w:val="center"/>
        <w:rPr>
          <w:rFonts w:ascii="Palatino Linotype" w:eastAsia="Arial" w:hAnsi="Palatino Linotype" w:cs="Arial"/>
          <w:b/>
          <w:sz w:val="28"/>
          <w:szCs w:val="28"/>
        </w:rPr>
      </w:pPr>
    </w:p>
    <w:p w14:paraId="3C37DDD8" w14:textId="77777777" w:rsidR="00DE765C" w:rsidRPr="00407E08" w:rsidRDefault="00DE765C" w:rsidP="00B52FBA">
      <w:pPr>
        <w:tabs>
          <w:tab w:val="left" w:pos="0"/>
        </w:tabs>
        <w:jc w:val="center"/>
        <w:rPr>
          <w:rFonts w:ascii="Palatino Linotype" w:eastAsia="Arial" w:hAnsi="Palatino Linotype" w:cs="Arial"/>
          <w:sz w:val="28"/>
          <w:szCs w:val="28"/>
        </w:rPr>
      </w:pPr>
      <w:r w:rsidRPr="00407E08">
        <w:rPr>
          <w:rFonts w:ascii="Palatino Linotype" w:eastAsia="Arial" w:hAnsi="Palatino Linotype" w:cs="Arial"/>
          <w:b/>
          <w:sz w:val="28"/>
          <w:szCs w:val="28"/>
        </w:rPr>
        <w:t>TRANSITORIOS</w:t>
      </w:r>
    </w:p>
    <w:p w14:paraId="46467339" w14:textId="77777777" w:rsidR="00DE765C" w:rsidRPr="00407E08" w:rsidRDefault="00DE765C" w:rsidP="00B52FBA">
      <w:pPr>
        <w:jc w:val="both"/>
        <w:rPr>
          <w:rFonts w:ascii="Palatino Linotype" w:eastAsia="Arial" w:hAnsi="Palatino Linotype" w:cs="Arial"/>
          <w:sz w:val="28"/>
          <w:szCs w:val="28"/>
        </w:rPr>
      </w:pPr>
    </w:p>
    <w:p w14:paraId="17BF1DB0" w14:textId="77777777" w:rsidR="00DE765C" w:rsidRPr="00407E08" w:rsidRDefault="00DE765C" w:rsidP="00B52FBA">
      <w:pPr>
        <w:jc w:val="both"/>
        <w:rPr>
          <w:rFonts w:ascii="Palatino Linotype" w:eastAsia="Arial" w:hAnsi="Palatino Linotype" w:cs="Arial"/>
          <w:b/>
          <w:sz w:val="28"/>
          <w:szCs w:val="28"/>
        </w:rPr>
      </w:pPr>
      <w:r w:rsidRPr="00407E08">
        <w:rPr>
          <w:rFonts w:ascii="Palatino Linotype" w:eastAsia="Arial" w:hAnsi="Palatino Linotype" w:cs="Arial"/>
          <w:b/>
          <w:sz w:val="28"/>
          <w:szCs w:val="28"/>
        </w:rPr>
        <w:t xml:space="preserve">PRIMERO. </w:t>
      </w:r>
      <w:r w:rsidRPr="00407E08">
        <w:rPr>
          <w:rFonts w:ascii="Palatino Linotype" w:eastAsia="Arial" w:hAnsi="Palatino Linotype" w:cs="Arial"/>
          <w:sz w:val="28"/>
          <w:szCs w:val="28"/>
        </w:rPr>
        <w:t>El presente Reglamento surtirá efectos legales internos inmediatamente después de ser aprobado por el Consejo Ciudadano Nacional de Movimiento Ciudadano, en términos del artículo 16, numeral 1, inciso d) de los Estatutos, y se comunicará para su registro ante el Instituto Nacional Electoral para los efectos legales conducentes, en términos del artículo 36, numeral 2 de la Ley General de Partidos Políticos.</w:t>
      </w:r>
    </w:p>
    <w:p w14:paraId="19E2A376" w14:textId="77777777" w:rsidR="00DE765C" w:rsidRPr="00407E08" w:rsidRDefault="00DE765C" w:rsidP="00B52FBA">
      <w:pPr>
        <w:jc w:val="both"/>
        <w:rPr>
          <w:rFonts w:ascii="Palatino Linotype" w:eastAsia="Arial" w:hAnsi="Palatino Linotype" w:cs="Arial"/>
          <w:b/>
          <w:sz w:val="28"/>
          <w:szCs w:val="28"/>
        </w:rPr>
      </w:pPr>
    </w:p>
    <w:p w14:paraId="26A59406" w14:textId="77777777" w:rsidR="00B01711" w:rsidRPr="00407E08" w:rsidRDefault="00DE765C" w:rsidP="00B52FBA">
      <w:pPr>
        <w:jc w:val="both"/>
        <w:rPr>
          <w:rFonts w:ascii="Palatino Linotype" w:hAnsi="Palatino Linotype" w:cs="Arial"/>
          <w:b/>
          <w:sz w:val="28"/>
          <w:szCs w:val="28"/>
        </w:rPr>
      </w:pPr>
      <w:r w:rsidRPr="00407E08">
        <w:rPr>
          <w:rFonts w:ascii="Palatino Linotype" w:eastAsia="Arial" w:hAnsi="Palatino Linotype" w:cs="Arial"/>
          <w:b/>
          <w:sz w:val="28"/>
          <w:szCs w:val="28"/>
        </w:rPr>
        <w:t xml:space="preserve">SEGUNDO. </w:t>
      </w:r>
      <w:r w:rsidRPr="00407E08">
        <w:rPr>
          <w:rFonts w:ascii="Palatino Linotype" w:eastAsia="Arial" w:hAnsi="Palatino Linotype" w:cs="Arial"/>
          <w:sz w:val="28"/>
          <w:szCs w:val="28"/>
        </w:rPr>
        <w:t>La integración de registros contables y documentación soporte al Sistema Integral de Fiscalización del Instituto Nacional Electoral para las operaciones del recurso ordinario, de precampañas y campañas estará sujeta a los tiempos que la normatividad electoral establezca para tales efectos y la capacidad de operación de dicho sistema</w:t>
      </w:r>
      <w:r w:rsidRPr="00407E08">
        <w:rPr>
          <w:rFonts w:ascii="Palatino Linotype" w:eastAsia="Arial" w:hAnsi="Palatino Linotype" w:cs="Arial"/>
          <w:sz w:val="28"/>
          <w:szCs w:val="28"/>
          <w:lang w:val="es-MX"/>
        </w:rPr>
        <w:t>.</w:t>
      </w:r>
    </w:p>
    <w:sectPr w:rsidR="00B01711" w:rsidRPr="00407E08" w:rsidSect="00B967AC">
      <w:footerReference w:type="default" r:id="rId8"/>
      <w:pgSz w:w="12240" w:h="15840"/>
      <w:pgMar w:top="1135" w:right="1701" w:bottom="1135" w:left="1701"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B7D23" w14:textId="77777777" w:rsidR="006C7BBE" w:rsidRDefault="006C7BBE" w:rsidP="00E323AA">
      <w:r>
        <w:separator/>
      </w:r>
    </w:p>
  </w:endnote>
  <w:endnote w:type="continuationSeparator" w:id="0">
    <w:p w14:paraId="016D9E18" w14:textId="77777777" w:rsidR="006C7BBE" w:rsidRDefault="006C7BBE" w:rsidP="00E3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5984921"/>
      <w:docPartObj>
        <w:docPartGallery w:val="Page Numbers (Bottom of Page)"/>
        <w:docPartUnique/>
      </w:docPartObj>
    </w:sdtPr>
    <w:sdtEndPr/>
    <w:sdtContent>
      <w:p w14:paraId="3F026478" w14:textId="77777777" w:rsidR="0006000F" w:rsidRDefault="0006000F">
        <w:pPr>
          <w:pStyle w:val="Piedepgina"/>
          <w:jc w:val="center"/>
        </w:pPr>
        <w:r w:rsidRPr="0006000F">
          <w:rPr>
            <w:rFonts w:ascii="Palatino Linotype" w:hAnsi="Palatino Linotype"/>
            <w:sz w:val="28"/>
            <w:szCs w:val="28"/>
          </w:rPr>
          <w:fldChar w:fldCharType="begin"/>
        </w:r>
        <w:r w:rsidRPr="0006000F">
          <w:rPr>
            <w:rFonts w:ascii="Palatino Linotype" w:hAnsi="Palatino Linotype"/>
            <w:sz w:val="28"/>
            <w:szCs w:val="28"/>
          </w:rPr>
          <w:instrText>PAGE   \* MERGEFORMAT</w:instrText>
        </w:r>
        <w:r w:rsidRPr="0006000F">
          <w:rPr>
            <w:rFonts w:ascii="Palatino Linotype" w:hAnsi="Palatino Linotype"/>
            <w:sz w:val="28"/>
            <w:szCs w:val="28"/>
          </w:rPr>
          <w:fldChar w:fldCharType="separate"/>
        </w:r>
        <w:r w:rsidR="00407E08">
          <w:rPr>
            <w:rFonts w:ascii="Palatino Linotype" w:hAnsi="Palatino Linotype"/>
            <w:noProof/>
            <w:sz w:val="28"/>
            <w:szCs w:val="28"/>
          </w:rPr>
          <w:t>12</w:t>
        </w:r>
        <w:r w:rsidRPr="0006000F">
          <w:rPr>
            <w:rFonts w:ascii="Palatino Linotype" w:hAnsi="Palatino Linotype"/>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7A6FE" w14:textId="77777777" w:rsidR="006C7BBE" w:rsidRDefault="006C7BBE" w:rsidP="00E323AA">
      <w:r>
        <w:separator/>
      </w:r>
    </w:p>
  </w:footnote>
  <w:footnote w:type="continuationSeparator" w:id="0">
    <w:p w14:paraId="42C7D96A" w14:textId="77777777" w:rsidR="006C7BBE" w:rsidRDefault="006C7BBE" w:rsidP="00E32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95269"/>
    <w:multiLevelType w:val="hybridMultilevel"/>
    <w:tmpl w:val="AB1488B4"/>
    <w:lvl w:ilvl="0" w:tplc="563EF5A6">
      <w:start w:val="1"/>
      <w:numFmt w:val="decimal"/>
      <w:pStyle w:val="Ttulo5"/>
      <w:lvlText w:val="%1."/>
      <w:lvlJc w:val="left"/>
      <w:pPr>
        <w:tabs>
          <w:tab w:val="num" w:pos="1304"/>
        </w:tabs>
        <w:ind w:left="1304" w:hanging="453"/>
      </w:pPr>
      <w:rPr>
        <w:rFonts w:ascii="Arial" w:hAnsi="Arial" w:hint="default"/>
        <w:b/>
        <w:i w:val="0"/>
        <w:sz w:val="22"/>
      </w:rPr>
    </w:lvl>
    <w:lvl w:ilvl="1" w:tplc="0C0A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7B573DF"/>
    <w:multiLevelType w:val="hybridMultilevel"/>
    <w:tmpl w:val="D8109C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D143DE"/>
    <w:multiLevelType w:val="hybridMultilevel"/>
    <w:tmpl w:val="C524AB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9273E7"/>
    <w:multiLevelType w:val="multilevel"/>
    <w:tmpl w:val="368E3744"/>
    <w:lvl w:ilvl="0">
      <w:start w:val="1"/>
      <w:numFmt w:val="decimal"/>
      <w:pStyle w:val="Ttulo6"/>
      <w:lvlText w:val="%1."/>
      <w:lvlJc w:val="left"/>
      <w:pPr>
        <w:tabs>
          <w:tab w:val="num" w:pos="567"/>
        </w:tabs>
        <w:ind w:left="567" w:hanging="567"/>
      </w:pPr>
      <w:rPr>
        <w:rFonts w:ascii="Arial" w:hAnsi="Arial" w:hint="default"/>
        <w:b/>
        <w:i w:val="0"/>
        <w:sz w:val="22"/>
      </w:rPr>
    </w:lvl>
    <w:lvl w:ilvl="1">
      <w:start w:val="2"/>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A525E4C"/>
    <w:multiLevelType w:val="hybridMultilevel"/>
    <w:tmpl w:val="D2B2ADC8"/>
    <w:lvl w:ilvl="0" w:tplc="54746344">
      <w:start w:val="1"/>
      <w:numFmt w:val="decimal"/>
      <w:lvlText w:val="%1."/>
      <w:lvlJc w:val="left"/>
      <w:pPr>
        <w:ind w:left="1080" w:hanging="360"/>
      </w:pPr>
      <w:rPr>
        <w:rFonts w:asciiTheme="minorHAnsi" w:eastAsia="Arial" w:hAnsiTheme="minorHAnsi" w:cs="Arial"/>
      </w:rPr>
    </w:lvl>
    <w:lvl w:ilvl="1" w:tplc="A9FCA8AA">
      <w:start w:val="1"/>
      <w:numFmt w:val="bullet"/>
      <w:lvlText w:val="o"/>
      <w:lvlJc w:val="left"/>
      <w:pPr>
        <w:ind w:left="1800" w:hanging="360"/>
      </w:pPr>
      <w:rPr>
        <w:rFonts w:ascii="Courier New" w:hAnsi="Courier New" w:cs="Courier New" w:hint="default"/>
      </w:rPr>
    </w:lvl>
    <w:lvl w:ilvl="2" w:tplc="24EE0DDA">
      <w:start w:val="1"/>
      <w:numFmt w:val="bullet"/>
      <w:lvlText w:val=""/>
      <w:lvlJc w:val="left"/>
      <w:pPr>
        <w:ind w:left="2520" w:hanging="360"/>
      </w:pPr>
      <w:rPr>
        <w:rFonts w:ascii="Wingdings" w:hAnsi="Wingdings" w:hint="default"/>
      </w:rPr>
    </w:lvl>
    <w:lvl w:ilvl="3" w:tplc="B12EB874">
      <w:start w:val="1"/>
      <w:numFmt w:val="bullet"/>
      <w:lvlText w:val=""/>
      <w:lvlJc w:val="left"/>
      <w:pPr>
        <w:ind w:left="3240" w:hanging="360"/>
      </w:pPr>
      <w:rPr>
        <w:rFonts w:ascii="Symbol" w:hAnsi="Symbol" w:hint="default"/>
      </w:rPr>
    </w:lvl>
    <w:lvl w:ilvl="4" w:tplc="BBB0CD4C">
      <w:start w:val="1"/>
      <w:numFmt w:val="bullet"/>
      <w:lvlText w:val="o"/>
      <w:lvlJc w:val="left"/>
      <w:pPr>
        <w:ind w:left="3960" w:hanging="360"/>
      </w:pPr>
      <w:rPr>
        <w:rFonts w:ascii="Courier New" w:hAnsi="Courier New" w:cs="Courier New" w:hint="default"/>
      </w:rPr>
    </w:lvl>
    <w:lvl w:ilvl="5" w:tplc="8012AF5E">
      <w:start w:val="1"/>
      <w:numFmt w:val="bullet"/>
      <w:lvlText w:val=""/>
      <w:lvlJc w:val="left"/>
      <w:pPr>
        <w:ind w:left="4680" w:hanging="360"/>
      </w:pPr>
      <w:rPr>
        <w:rFonts w:ascii="Wingdings" w:hAnsi="Wingdings" w:hint="default"/>
      </w:rPr>
    </w:lvl>
    <w:lvl w:ilvl="6" w:tplc="5EEE3124">
      <w:start w:val="1"/>
      <w:numFmt w:val="bullet"/>
      <w:lvlText w:val=""/>
      <w:lvlJc w:val="left"/>
      <w:pPr>
        <w:ind w:left="5400" w:hanging="360"/>
      </w:pPr>
      <w:rPr>
        <w:rFonts w:ascii="Symbol" w:hAnsi="Symbol" w:hint="default"/>
      </w:rPr>
    </w:lvl>
    <w:lvl w:ilvl="7" w:tplc="95543466">
      <w:start w:val="1"/>
      <w:numFmt w:val="bullet"/>
      <w:lvlText w:val="o"/>
      <w:lvlJc w:val="left"/>
      <w:pPr>
        <w:ind w:left="6120" w:hanging="360"/>
      </w:pPr>
      <w:rPr>
        <w:rFonts w:ascii="Courier New" w:hAnsi="Courier New" w:cs="Courier New" w:hint="default"/>
      </w:rPr>
    </w:lvl>
    <w:lvl w:ilvl="8" w:tplc="B8F87E60">
      <w:start w:val="1"/>
      <w:numFmt w:val="bullet"/>
      <w:lvlText w:val=""/>
      <w:lvlJc w:val="left"/>
      <w:pPr>
        <w:ind w:left="6840" w:hanging="360"/>
      </w:pPr>
      <w:rPr>
        <w:rFonts w:ascii="Wingdings" w:hAnsi="Wingdings" w:hint="default"/>
      </w:rPr>
    </w:lvl>
  </w:abstractNum>
  <w:abstractNum w:abstractNumId="5" w15:restartNumberingAfterBreak="0">
    <w:nsid w:val="7DD80D0E"/>
    <w:multiLevelType w:val="hybridMultilevel"/>
    <w:tmpl w:val="E3D063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ECE7DCC"/>
    <w:multiLevelType w:val="hybridMultilevel"/>
    <w:tmpl w:val="E6748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B40"/>
    <w:rsid w:val="000109F5"/>
    <w:rsid w:val="000243B0"/>
    <w:rsid w:val="0006000F"/>
    <w:rsid w:val="000B127D"/>
    <w:rsid w:val="000D6D24"/>
    <w:rsid w:val="00140708"/>
    <w:rsid w:val="0015416A"/>
    <w:rsid w:val="001B131A"/>
    <w:rsid w:val="001E3646"/>
    <w:rsid w:val="00201EF2"/>
    <w:rsid w:val="00231EA6"/>
    <w:rsid w:val="00295D66"/>
    <w:rsid w:val="00362B40"/>
    <w:rsid w:val="003B3839"/>
    <w:rsid w:val="003E3D88"/>
    <w:rsid w:val="004043C9"/>
    <w:rsid w:val="00407E08"/>
    <w:rsid w:val="00421B15"/>
    <w:rsid w:val="00427C08"/>
    <w:rsid w:val="00462506"/>
    <w:rsid w:val="00465357"/>
    <w:rsid w:val="004C2908"/>
    <w:rsid w:val="004E56A9"/>
    <w:rsid w:val="00506E66"/>
    <w:rsid w:val="005102F6"/>
    <w:rsid w:val="00521B05"/>
    <w:rsid w:val="006C7BBE"/>
    <w:rsid w:val="006D4723"/>
    <w:rsid w:val="006F3386"/>
    <w:rsid w:val="0070427A"/>
    <w:rsid w:val="007238DB"/>
    <w:rsid w:val="00760E19"/>
    <w:rsid w:val="007862AC"/>
    <w:rsid w:val="0079372F"/>
    <w:rsid w:val="007B406D"/>
    <w:rsid w:val="007C5DBD"/>
    <w:rsid w:val="007D0534"/>
    <w:rsid w:val="007D0FFD"/>
    <w:rsid w:val="007E677E"/>
    <w:rsid w:val="00800EE6"/>
    <w:rsid w:val="00845F78"/>
    <w:rsid w:val="00854B26"/>
    <w:rsid w:val="00871FEB"/>
    <w:rsid w:val="0087648B"/>
    <w:rsid w:val="008823EF"/>
    <w:rsid w:val="008D611B"/>
    <w:rsid w:val="009278EB"/>
    <w:rsid w:val="009B3370"/>
    <w:rsid w:val="009D7498"/>
    <w:rsid w:val="00A70221"/>
    <w:rsid w:val="00AA5137"/>
    <w:rsid w:val="00AB6ECE"/>
    <w:rsid w:val="00AD060A"/>
    <w:rsid w:val="00AD5725"/>
    <w:rsid w:val="00AF76EA"/>
    <w:rsid w:val="00B01711"/>
    <w:rsid w:val="00B23EDD"/>
    <w:rsid w:val="00B26116"/>
    <w:rsid w:val="00B34F90"/>
    <w:rsid w:val="00B52FBA"/>
    <w:rsid w:val="00B967AC"/>
    <w:rsid w:val="00BE14F6"/>
    <w:rsid w:val="00BF15EB"/>
    <w:rsid w:val="00C2379E"/>
    <w:rsid w:val="00C23C18"/>
    <w:rsid w:val="00C361E6"/>
    <w:rsid w:val="00C47A44"/>
    <w:rsid w:val="00CA38EE"/>
    <w:rsid w:val="00CD7764"/>
    <w:rsid w:val="00CE302F"/>
    <w:rsid w:val="00D10F2B"/>
    <w:rsid w:val="00D73CF9"/>
    <w:rsid w:val="00D91889"/>
    <w:rsid w:val="00DE4262"/>
    <w:rsid w:val="00DE765C"/>
    <w:rsid w:val="00DF0A7F"/>
    <w:rsid w:val="00DF2209"/>
    <w:rsid w:val="00DF6C6E"/>
    <w:rsid w:val="00E1765C"/>
    <w:rsid w:val="00E323AA"/>
    <w:rsid w:val="00E75629"/>
    <w:rsid w:val="00EC591E"/>
    <w:rsid w:val="00EE77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06C0"/>
  <w15:docId w15:val="{B2A42BC4-51CD-4390-9B04-4E8FB2EE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B40"/>
    <w:rPr>
      <w:rFonts w:ascii="Times New Roman" w:eastAsia="Times New Roman" w:hAnsi="Times New Roman" w:cs="Times New Roman"/>
      <w:lang w:val="es-ES" w:eastAsia="es-ES"/>
    </w:rPr>
  </w:style>
  <w:style w:type="paragraph" w:styleId="Ttulo2">
    <w:name w:val="heading 2"/>
    <w:basedOn w:val="Normal"/>
    <w:next w:val="Normal"/>
    <w:link w:val="Ttulo2Car"/>
    <w:qFormat/>
    <w:rsid w:val="00362B40"/>
    <w:pPr>
      <w:keepNext/>
      <w:spacing w:before="240" w:after="240"/>
      <w:jc w:val="both"/>
      <w:outlineLvl w:val="1"/>
    </w:pPr>
    <w:rPr>
      <w:rFonts w:ascii="Arial" w:hAnsi="Arial"/>
      <w:b/>
      <w:szCs w:val="20"/>
      <w:lang w:val="es-MX"/>
    </w:rPr>
  </w:style>
  <w:style w:type="paragraph" w:styleId="Ttulo3">
    <w:name w:val="heading 3"/>
    <w:basedOn w:val="Normal"/>
    <w:next w:val="Normal"/>
    <w:link w:val="Ttulo3Car"/>
    <w:unhideWhenUsed/>
    <w:qFormat/>
    <w:rsid w:val="00362B40"/>
    <w:pPr>
      <w:keepNext/>
      <w:keepLines/>
      <w:spacing w:before="200" w:line="276" w:lineRule="auto"/>
      <w:outlineLvl w:val="2"/>
    </w:pPr>
    <w:rPr>
      <w:rFonts w:ascii="Cambria" w:hAnsi="Cambria"/>
      <w:b/>
      <w:bCs/>
      <w:color w:val="4F81BD"/>
      <w:sz w:val="22"/>
      <w:szCs w:val="22"/>
      <w:lang w:eastAsia="en-US"/>
    </w:rPr>
  </w:style>
  <w:style w:type="paragraph" w:styleId="Ttulo5">
    <w:name w:val="heading 5"/>
    <w:basedOn w:val="Normal"/>
    <w:next w:val="Normal"/>
    <w:link w:val="Ttulo5Car"/>
    <w:qFormat/>
    <w:rsid w:val="00362B40"/>
    <w:pPr>
      <w:keepNext/>
      <w:numPr>
        <w:numId w:val="1"/>
      </w:numPr>
      <w:spacing w:before="120" w:after="120"/>
      <w:jc w:val="both"/>
      <w:outlineLvl w:val="4"/>
    </w:pPr>
    <w:rPr>
      <w:rFonts w:ascii="Arial" w:hAnsi="Arial"/>
      <w:b/>
      <w:sz w:val="22"/>
      <w:szCs w:val="20"/>
      <w:lang w:val="es-ES_tradnl"/>
    </w:rPr>
  </w:style>
  <w:style w:type="paragraph" w:styleId="Ttulo6">
    <w:name w:val="heading 6"/>
    <w:basedOn w:val="Normal"/>
    <w:next w:val="Normal"/>
    <w:link w:val="Ttulo6Car"/>
    <w:qFormat/>
    <w:rsid w:val="00362B40"/>
    <w:pPr>
      <w:keepNext/>
      <w:numPr>
        <w:numId w:val="2"/>
      </w:numPr>
      <w:spacing w:before="120" w:after="120"/>
      <w:jc w:val="both"/>
      <w:outlineLvl w:val="5"/>
    </w:pPr>
    <w:rPr>
      <w:rFonts w:ascii="Arial" w:hAnsi="Arial"/>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62B40"/>
    <w:rPr>
      <w:rFonts w:ascii="Arial" w:eastAsia="Times New Roman" w:hAnsi="Arial" w:cs="Times New Roman"/>
      <w:b/>
      <w:szCs w:val="20"/>
      <w:lang w:eastAsia="es-ES"/>
    </w:rPr>
  </w:style>
  <w:style w:type="character" w:customStyle="1" w:styleId="Ttulo3Car">
    <w:name w:val="Título 3 Car"/>
    <w:basedOn w:val="Fuentedeprrafopredeter"/>
    <w:link w:val="Ttulo3"/>
    <w:rsid w:val="00362B40"/>
    <w:rPr>
      <w:rFonts w:ascii="Cambria" w:eastAsia="Times New Roman" w:hAnsi="Cambria" w:cs="Times New Roman"/>
      <w:b/>
      <w:bCs/>
      <w:color w:val="4F81BD"/>
      <w:sz w:val="22"/>
      <w:szCs w:val="22"/>
      <w:lang w:val="es-ES"/>
    </w:rPr>
  </w:style>
  <w:style w:type="character" w:customStyle="1" w:styleId="Ttulo5Car">
    <w:name w:val="Título 5 Car"/>
    <w:basedOn w:val="Fuentedeprrafopredeter"/>
    <w:link w:val="Ttulo5"/>
    <w:rsid w:val="00362B40"/>
    <w:rPr>
      <w:rFonts w:ascii="Arial" w:eastAsia="Times New Roman" w:hAnsi="Arial" w:cs="Times New Roman"/>
      <w:b/>
      <w:sz w:val="22"/>
      <w:szCs w:val="20"/>
      <w:lang w:val="es-ES_tradnl" w:eastAsia="es-ES"/>
    </w:rPr>
  </w:style>
  <w:style w:type="character" w:customStyle="1" w:styleId="Ttulo6Car">
    <w:name w:val="Título 6 Car"/>
    <w:basedOn w:val="Fuentedeprrafopredeter"/>
    <w:link w:val="Ttulo6"/>
    <w:rsid w:val="00362B40"/>
    <w:rPr>
      <w:rFonts w:ascii="Arial" w:eastAsia="Times New Roman" w:hAnsi="Arial" w:cs="Times New Roman"/>
      <w:b/>
      <w:sz w:val="22"/>
      <w:szCs w:val="20"/>
      <w:lang w:eastAsia="es-ES"/>
    </w:rPr>
  </w:style>
  <w:style w:type="paragraph" w:styleId="Encabezado">
    <w:name w:val="header"/>
    <w:basedOn w:val="Normal"/>
    <w:link w:val="EncabezadoCar"/>
    <w:uiPriority w:val="99"/>
    <w:unhideWhenUsed/>
    <w:rsid w:val="00362B40"/>
    <w:pPr>
      <w:tabs>
        <w:tab w:val="center" w:pos="4419"/>
        <w:tab w:val="right" w:pos="8838"/>
      </w:tabs>
    </w:pPr>
  </w:style>
  <w:style w:type="character" w:customStyle="1" w:styleId="EncabezadoCar">
    <w:name w:val="Encabezado Car"/>
    <w:basedOn w:val="Fuentedeprrafopredeter"/>
    <w:link w:val="Encabezado"/>
    <w:uiPriority w:val="99"/>
    <w:rsid w:val="00362B40"/>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362B40"/>
    <w:pPr>
      <w:tabs>
        <w:tab w:val="center" w:pos="4419"/>
        <w:tab w:val="right" w:pos="8838"/>
      </w:tabs>
    </w:pPr>
  </w:style>
  <w:style w:type="character" w:customStyle="1" w:styleId="PiedepginaCar">
    <w:name w:val="Pie de página Car"/>
    <w:basedOn w:val="Fuentedeprrafopredeter"/>
    <w:link w:val="Piedepgina"/>
    <w:uiPriority w:val="99"/>
    <w:rsid w:val="00362B40"/>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362B40"/>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B40"/>
    <w:rPr>
      <w:rFonts w:ascii="Tahoma" w:eastAsia="Times New Roman" w:hAnsi="Tahoma" w:cs="Tahoma"/>
      <w:sz w:val="16"/>
      <w:szCs w:val="16"/>
      <w:lang w:val="es-ES" w:eastAsia="es-ES"/>
    </w:rPr>
  </w:style>
  <w:style w:type="character" w:styleId="Textoennegrita">
    <w:name w:val="Strong"/>
    <w:uiPriority w:val="22"/>
    <w:qFormat/>
    <w:rsid w:val="00362B40"/>
    <w:rPr>
      <w:rFonts w:cs="Times New Roman"/>
      <w:b/>
      <w:bCs/>
    </w:rPr>
  </w:style>
  <w:style w:type="paragraph" w:customStyle="1" w:styleId="yiv655737270msonormal">
    <w:name w:val="yiv655737270msonormal"/>
    <w:basedOn w:val="Normal"/>
    <w:rsid w:val="00362B40"/>
    <w:pPr>
      <w:spacing w:before="100" w:beforeAutospacing="1" w:after="100" w:afterAutospacing="1"/>
    </w:pPr>
    <w:rPr>
      <w:lang w:val="en-US" w:eastAsia="en-US"/>
    </w:rPr>
  </w:style>
  <w:style w:type="character" w:customStyle="1" w:styleId="apple-converted-space">
    <w:name w:val="apple-converted-space"/>
    <w:basedOn w:val="Fuentedeprrafopredeter"/>
    <w:rsid w:val="00362B40"/>
  </w:style>
  <w:style w:type="paragraph" w:styleId="NormalWeb">
    <w:name w:val="Normal (Web)"/>
    <w:basedOn w:val="Normal"/>
    <w:uiPriority w:val="99"/>
    <w:rsid w:val="00362B40"/>
    <w:pPr>
      <w:spacing w:after="173"/>
    </w:pPr>
    <w:rPr>
      <w:lang w:val="es-MX" w:eastAsia="es-MX"/>
    </w:rPr>
  </w:style>
  <w:style w:type="paragraph" w:customStyle="1" w:styleId="ecxmsonormal">
    <w:name w:val="ecxmsonormal"/>
    <w:basedOn w:val="Normal"/>
    <w:rsid w:val="00362B40"/>
    <w:pPr>
      <w:spacing w:after="324"/>
    </w:pPr>
    <w:rPr>
      <w:lang w:val="es-MX" w:eastAsia="es-MX"/>
    </w:rPr>
  </w:style>
  <w:style w:type="paragraph" w:styleId="Prrafodelista">
    <w:name w:val="List Paragraph"/>
    <w:basedOn w:val="Normal"/>
    <w:uiPriority w:val="34"/>
    <w:qFormat/>
    <w:rsid w:val="00362B40"/>
    <w:pPr>
      <w:ind w:left="720"/>
      <w:contextualSpacing/>
    </w:pPr>
  </w:style>
  <w:style w:type="paragraph" w:styleId="HTMLconformatoprevio">
    <w:name w:val="HTML Preformatted"/>
    <w:basedOn w:val="Normal"/>
    <w:link w:val="HTMLconformatoprevioCar"/>
    <w:uiPriority w:val="99"/>
    <w:rsid w:val="00362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conformatoprevioCar">
    <w:name w:val="HTML con formato previo Car"/>
    <w:basedOn w:val="Fuentedeprrafopredeter"/>
    <w:link w:val="HTMLconformatoprevio"/>
    <w:uiPriority w:val="99"/>
    <w:rsid w:val="00362B40"/>
    <w:rPr>
      <w:rFonts w:ascii="Courier New" w:eastAsia="Calibri" w:hAnsi="Courier New" w:cs="Courier New"/>
      <w:sz w:val="20"/>
      <w:szCs w:val="20"/>
      <w:lang w:val="es-ES" w:eastAsia="es-ES"/>
    </w:rPr>
  </w:style>
  <w:style w:type="character" w:styleId="Nmerodepgina">
    <w:name w:val="page number"/>
    <w:uiPriority w:val="99"/>
    <w:rsid w:val="00362B40"/>
    <w:rPr>
      <w:rFonts w:cs="Times New Roman"/>
    </w:rPr>
  </w:style>
  <w:style w:type="paragraph" w:styleId="Textoindependiente">
    <w:name w:val="Body Text"/>
    <w:basedOn w:val="Normal"/>
    <w:link w:val="TextoindependienteCar"/>
    <w:rsid w:val="00362B40"/>
    <w:pPr>
      <w:spacing w:after="120"/>
      <w:jc w:val="both"/>
    </w:pPr>
    <w:rPr>
      <w:szCs w:val="20"/>
      <w:lang w:val="es-MX"/>
    </w:rPr>
  </w:style>
  <w:style w:type="character" w:customStyle="1" w:styleId="TextoindependienteCar">
    <w:name w:val="Texto independiente Car"/>
    <w:basedOn w:val="Fuentedeprrafopredeter"/>
    <w:link w:val="Textoindependiente"/>
    <w:rsid w:val="00362B40"/>
    <w:rPr>
      <w:rFonts w:ascii="Times New Roman" w:eastAsia="Times New Roman" w:hAnsi="Times New Roman" w:cs="Times New Roman"/>
      <w:szCs w:val="20"/>
      <w:lang w:eastAsia="es-ES"/>
    </w:rPr>
  </w:style>
  <w:style w:type="paragraph" w:customStyle="1" w:styleId="Normal4">
    <w:name w:val="Normal4"/>
    <w:basedOn w:val="Normal"/>
    <w:rsid w:val="00362B40"/>
    <w:pPr>
      <w:spacing w:line="360" w:lineRule="auto"/>
      <w:ind w:left="851"/>
      <w:jc w:val="both"/>
    </w:pPr>
    <w:rPr>
      <w:rFonts w:ascii="Arial" w:hAnsi="Arial"/>
      <w:sz w:val="22"/>
      <w:szCs w:val="20"/>
      <w:lang w:val="es-MX"/>
    </w:rPr>
  </w:style>
  <w:style w:type="paragraph" w:customStyle="1" w:styleId="Normal3">
    <w:name w:val="Normal3"/>
    <w:basedOn w:val="Normal"/>
    <w:rsid w:val="00362B40"/>
    <w:pPr>
      <w:tabs>
        <w:tab w:val="left" w:pos="567"/>
      </w:tabs>
      <w:spacing w:line="360" w:lineRule="auto"/>
      <w:ind w:left="567" w:hanging="567"/>
      <w:jc w:val="both"/>
    </w:pPr>
    <w:rPr>
      <w:rFonts w:ascii="Arial" w:hAnsi="Arial"/>
      <w:sz w:val="22"/>
      <w:szCs w:val="20"/>
      <w:lang w:val="es-MX"/>
    </w:rPr>
  </w:style>
  <w:style w:type="paragraph" w:customStyle="1" w:styleId="Normal2">
    <w:name w:val="Normal2"/>
    <w:basedOn w:val="Normal"/>
    <w:autoRedefine/>
    <w:rsid w:val="00362B40"/>
    <w:pPr>
      <w:tabs>
        <w:tab w:val="left" w:pos="142"/>
        <w:tab w:val="left" w:pos="567"/>
      </w:tabs>
      <w:spacing w:line="360" w:lineRule="auto"/>
      <w:jc w:val="both"/>
    </w:pPr>
    <w:rPr>
      <w:rFonts w:ascii="Arial" w:hAnsi="Arial"/>
      <w:b/>
      <w:sz w:val="22"/>
      <w:szCs w:val="22"/>
      <w:lang w:val="es-MX"/>
    </w:rPr>
  </w:style>
  <w:style w:type="paragraph" w:styleId="Textosinformato">
    <w:name w:val="Plain Text"/>
    <w:basedOn w:val="Normal"/>
    <w:link w:val="TextosinformatoCar"/>
    <w:semiHidden/>
    <w:rsid w:val="00362B40"/>
    <w:rPr>
      <w:rFonts w:ascii="Courier New" w:hAnsi="Courier New" w:cs="Courier New"/>
      <w:sz w:val="20"/>
      <w:szCs w:val="20"/>
    </w:rPr>
  </w:style>
  <w:style w:type="character" w:customStyle="1" w:styleId="TextosinformatoCar">
    <w:name w:val="Texto sin formato Car"/>
    <w:basedOn w:val="Fuentedeprrafopredeter"/>
    <w:link w:val="Textosinformato"/>
    <w:semiHidden/>
    <w:rsid w:val="00362B40"/>
    <w:rPr>
      <w:rFonts w:ascii="Courier New" w:eastAsia="Times New Roman" w:hAnsi="Courier New" w:cs="Courier New"/>
      <w:sz w:val="20"/>
      <w:szCs w:val="20"/>
      <w:lang w:val="es-ES" w:eastAsia="es-ES"/>
    </w:rPr>
  </w:style>
  <w:style w:type="paragraph" w:styleId="Textocomentario">
    <w:name w:val="annotation text"/>
    <w:basedOn w:val="Normal"/>
    <w:link w:val="TextocomentarioCar"/>
    <w:uiPriority w:val="99"/>
    <w:semiHidden/>
    <w:unhideWhenUsed/>
    <w:rsid w:val="00362B40"/>
    <w:pPr>
      <w:spacing w:after="200"/>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semiHidden/>
    <w:rsid w:val="00362B40"/>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362B40"/>
    <w:rPr>
      <w:b/>
      <w:bCs/>
    </w:rPr>
  </w:style>
  <w:style w:type="character" w:customStyle="1" w:styleId="AsuntodelcomentarioCar">
    <w:name w:val="Asunto del comentario Car"/>
    <w:basedOn w:val="TextocomentarioCar"/>
    <w:link w:val="Asuntodelcomentario"/>
    <w:uiPriority w:val="99"/>
    <w:semiHidden/>
    <w:rsid w:val="00362B40"/>
    <w:rPr>
      <w:rFonts w:ascii="Calibri" w:eastAsia="Calibri" w:hAnsi="Calibri" w:cs="Times New Roman"/>
      <w:b/>
      <w:bCs/>
      <w:sz w:val="20"/>
      <w:szCs w:val="20"/>
      <w:lang w:val="es-ES"/>
    </w:rPr>
  </w:style>
  <w:style w:type="paragraph" w:customStyle="1" w:styleId="Default">
    <w:name w:val="Default"/>
    <w:rsid w:val="00362B40"/>
    <w:pPr>
      <w:autoSpaceDE w:val="0"/>
      <w:autoSpaceDN w:val="0"/>
      <w:adjustRightInd w:val="0"/>
    </w:pPr>
    <w:rPr>
      <w:rFonts w:ascii="Arial" w:eastAsia="Calibri" w:hAnsi="Arial" w:cs="Arial"/>
      <w:color w:val="000000"/>
    </w:rPr>
  </w:style>
  <w:style w:type="paragraph" w:styleId="Sinespaciado">
    <w:name w:val="No Spacing"/>
    <w:uiPriority w:val="1"/>
    <w:qFormat/>
    <w:rsid w:val="00362B40"/>
    <w:rPr>
      <w:rFonts w:asciiTheme="minorHAnsi" w:hAnsiTheme="minorHAnsi"/>
      <w:sz w:val="22"/>
      <w:szCs w:val="22"/>
    </w:rPr>
  </w:style>
  <w:style w:type="paragraph" w:styleId="Lista">
    <w:name w:val="List"/>
    <w:basedOn w:val="Normal"/>
    <w:uiPriority w:val="99"/>
    <w:unhideWhenUsed/>
    <w:rsid w:val="00362B40"/>
    <w:pPr>
      <w:spacing w:after="200" w:line="276" w:lineRule="auto"/>
      <w:ind w:left="283" w:hanging="283"/>
      <w:contextualSpacing/>
    </w:pPr>
    <w:rPr>
      <w:rFonts w:asciiTheme="minorHAnsi" w:eastAsiaTheme="minorHAnsi" w:hAnsiTheme="minorHAnsi" w:cstheme="minorBidi"/>
      <w:sz w:val="22"/>
      <w:szCs w:val="22"/>
      <w:lang w:val="es-MX" w:eastAsia="en-US"/>
    </w:rPr>
  </w:style>
  <w:style w:type="paragraph" w:styleId="Lista2">
    <w:name w:val="List 2"/>
    <w:basedOn w:val="Normal"/>
    <w:uiPriority w:val="99"/>
    <w:unhideWhenUsed/>
    <w:rsid w:val="00362B40"/>
    <w:pPr>
      <w:spacing w:after="200" w:line="276" w:lineRule="auto"/>
      <w:ind w:left="566" w:hanging="283"/>
      <w:contextualSpacing/>
    </w:pPr>
    <w:rPr>
      <w:rFonts w:asciiTheme="minorHAnsi" w:eastAsiaTheme="minorHAnsi" w:hAnsiTheme="minorHAnsi" w:cstheme="minorBidi"/>
      <w:sz w:val="22"/>
      <w:szCs w:val="22"/>
      <w:lang w:val="es-MX" w:eastAsia="en-US"/>
    </w:rPr>
  </w:style>
  <w:style w:type="paragraph" w:customStyle="1" w:styleId="Texto">
    <w:name w:val="Texto"/>
    <w:basedOn w:val="Normal"/>
    <w:link w:val="TextoCar"/>
    <w:rsid w:val="00DE765C"/>
    <w:pPr>
      <w:spacing w:after="101" w:line="216" w:lineRule="exact"/>
      <w:ind w:firstLine="288"/>
      <w:jc w:val="both"/>
    </w:pPr>
    <w:rPr>
      <w:rFonts w:ascii="Arial" w:hAnsi="Arial" w:cs="Arial"/>
      <w:sz w:val="18"/>
      <w:szCs w:val="20"/>
    </w:rPr>
  </w:style>
  <w:style w:type="character" w:customStyle="1" w:styleId="TextoCar">
    <w:name w:val="Texto Car"/>
    <w:link w:val="Texto"/>
    <w:locked/>
    <w:rsid w:val="00DE765C"/>
    <w:rPr>
      <w:rFonts w:ascii="Arial" w:eastAsia="Times New Roman" w:hAnsi="Arial" w:cs="Arial"/>
      <w:sz w:val="18"/>
      <w:szCs w:val="20"/>
      <w:lang w:val="es-ES" w:eastAsia="es-ES"/>
    </w:rPr>
  </w:style>
  <w:style w:type="paragraph" w:styleId="Revisin">
    <w:name w:val="Revision"/>
    <w:hidden/>
    <w:uiPriority w:val="99"/>
    <w:semiHidden/>
    <w:rsid w:val="00AD060A"/>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2851</Words>
  <Characters>15684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dc:creator>
  <cp:lastModifiedBy>User</cp:lastModifiedBy>
  <cp:revision>2</cp:revision>
  <dcterms:created xsi:type="dcterms:W3CDTF">2020-07-16T19:36:00Z</dcterms:created>
  <dcterms:modified xsi:type="dcterms:W3CDTF">2020-07-16T19:36:00Z</dcterms:modified>
</cp:coreProperties>
</file>